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B271D" w14:textId="77777777" w:rsidR="00F540C7" w:rsidRPr="003C6EC2" w:rsidRDefault="00F540C7" w:rsidP="00F540C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67D81999" wp14:editId="685AF286">
            <wp:simplePos x="0" y="0"/>
            <wp:positionH relativeFrom="page">
              <wp:align>right</wp:align>
            </wp:positionH>
            <wp:positionV relativeFrom="paragraph">
              <wp:posOffset>43815</wp:posOffset>
            </wp:positionV>
            <wp:extent cx="7580630" cy="9572625"/>
            <wp:effectExtent l="0" t="0" r="1270" b="9525"/>
            <wp:wrapNone/>
            <wp:docPr id="9" name="Picture 9"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1312" behindDoc="1" locked="0" layoutInCell="1" allowOverlap="1" wp14:anchorId="0416E6C2" wp14:editId="7D9F5F6A">
            <wp:simplePos x="0" y="0"/>
            <wp:positionH relativeFrom="column">
              <wp:posOffset>-895350</wp:posOffset>
            </wp:positionH>
            <wp:positionV relativeFrom="paragraph">
              <wp:posOffset>-1067435</wp:posOffset>
            </wp:positionV>
            <wp:extent cx="7559675" cy="1025525"/>
            <wp:effectExtent l="0" t="0" r="3175" b="3175"/>
            <wp:wrapNone/>
            <wp:docPr id="2" name="Picture 2" descr="Graphical user interface, 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Gaynes Park Manor</w:t>
      </w:r>
      <w:r w:rsidRPr="003C6EC2">
        <w:rPr>
          <w:rFonts w:ascii="Arial Black" w:hAnsi="Arial Black"/>
        </w:rPr>
        <w:t xml:space="preserve"> </w:t>
      </w:r>
    </w:p>
    <w:p w14:paraId="74E835E2" w14:textId="77777777" w:rsidR="00F540C7" w:rsidRPr="003C6EC2" w:rsidRDefault="00F540C7" w:rsidP="00F540C7">
      <w:pPr>
        <w:pStyle w:val="Title"/>
        <w:spacing w:before="360" w:after="480"/>
      </w:pPr>
      <w:r w:rsidRPr="003C6EC2">
        <w:rPr>
          <w:rFonts w:ascii="Arial Black" w:eastAsia="Calibri" w:hAnsi="Arial Black"/>
          <w:sz w:val="56"/>
        </w:rPr>
        <w:t>Performance Report</w:t>
      </w:r>
    </w:p>
    <w:p w14:paraId="0B6821B5" w14:textId="77777777" w:rsidR="00F540C7" w:rsidRPr="003C6EC2" w:rsidRDefault="00F540C7" w:rsidP="00F540C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251 Payneham Road </w:t>
      </w:r>
      <w:r w:rsidRPr="003C6EC2">
        <w:rPr>
          <w:color w:val="FFFFFF" w:themeColor="background1"/>
          <w:sz w:val="28"/>
        </w:rPr>
        <w:br/>
        <w:t>JOSLIN SA 5070</w:t>
      </w:r>
      <w:r w:rsidRPr="003C6EC2">
        <w:rPr>
          <w:color w:val="FFFFFF" w:themeColor="background1"/>
          <w:sz w:val="28"/>
        </w:rPr>
        <w:br/>
      </w:r>
      <w:r w:rsidRPr="003C6EC2">
        <w:rPr>
          <w:rFonts w:eastAsia="Calibri"/>
          <w:color w:val="FFFFFF" w:themeColor="background1"/>
          <w:sz w:val="28"/>
          <w:szCs w:val="56"/>
          <w:lang w:eastAsia="en-US"/>
        </w:rPr>
        <w:t>Phone number: (08) 8490 2100</w:t>
      </w:r>
    </w:p>
    <w:p w14:paraId="34E1C0F2" w14:textId="77777777" w:rsidR="00F540C7" w:rsidRDefault="00F540C7" w:rsidP="00F540C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6955 </w:t>
      </w:r>
    </w:p>
    <w:p w14:paraId="53B3D37D" w14:textId="77777777" w:rsidR="00F540C7" w:rsidRPr="003C6EC2" w:rsidRDefault="00F540C7" w:rsidP="00F540C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Life Care Incorporated</w:t>
      </w:r>
    </w:p>
    <w:p w14:paraId="34C53881" w14:textId="77777777" w:rsidR="00F540C7" w:rsidRPr="003C6EC2" w:rsidRDefault="00F540C7" w:rsidP="00F540C7">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June 2021</w:t>
      </w:r>
    </w:p>
    <w:p w14:paraId="0D157B64" w14:textId="77777777" w:rsidR="00F540C7" w:rsidRPr="00E93D41" w:rsidRDefault="00F540C7" w:rsidP="00F540C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5 August 2021</w:t>
      </w:r>
    </w:p>
    <w:bookmarkEnd w:id="0"/>
    <w:p w14:paraId="0C2B6C98" w14:textId="77777777" w:rsidR="00F540C7" w:rsidRPr="003C6EC2" w:rsidRDefault="00F540C7" w:rsidP="00F540C7">
      <w:pPr>
        <w:tabs>
          <w:tab w:val="left" w:pos="2127"/>
        </w:tabs>
        <w:spacing w:before="120"/>
        <w:rPr>
          <w:rFonts w:eastAsia="Calibri"/>
          <w:b/>
          <w:color w:val="FFFFFF" w:themeColor="background1"/>
          <w:sz w:val="28"/>
          <w:szCs w:val="56"/>
          <w:lang w:eastAsia="en-US"/>
        </w:rPr>
      </w:pPr>
    </w:p>
    <w:p w14:paraId="78F1BEB5" w14:textId="77777777" w:rsidR="00F540C7" w:rsidRDefault="00F540C7" w:rsidP="00F540C7">
      <w:pPr>
        <w:pStyle w:val="Heading1"/>
        <w:sectPr w:rsidR="00F540C7"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D2E2E7F" w14:textId="77777777" w:rsidR="00F540C7" w:rsidRDefault="00F540C7" w:rsidP="00F540C7">
      <w:pPr>
        <w:pStyle w:val="Heading1"/>
      </w:pPr>
      <w:bookmarkStart w:id="1" w:name="_Hlk32477662"/>
      <w:r>
        <w:lastRenderedPageBreak/>
        <w:t>Publication of report</w:t>
      </w:r>
    </w:p>
    <w:p w14:paraId="1FBAAB03" w14:textId="77777777" w:rsidR="00F540C7" w:rsidRPr="006B166B" w:rsidRDefault="00F540C7" w:rsidP="00F540C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73F42B8" w14:textId="77777777" w:rsidR="00F540C7" w:rsidRPr="00ED68B3" w:rsidRDefault="00F540C7" w:rsidP="00F540C7">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540C7" w14:paraId="1DF1F7BB" w14:textId="77777777" w:rsidTr="00A1714E">
        <w:trPr>
          <w:trHeight w:val="227"/>
        </w:trPr>
        <w:tc>
          <w:tcPr>
            <w:tcW w:w="3942" w:type="pct"/>
            <w:shd w:val="clear" w:color="auto" w:fill="auto"/>
          </w:tcPr>
          <w:p w14:paraId="30EF6243" w14:textId="77777777" w:rsidR="00F540C7" w:rsidRPr="001E6954" w:rsidRDefault="00F540C7" w:rsidP="00A1714E">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6A9980E0" w14:textId="77777777" w:rsidR="00F540C7" w:rsidRPr="001E6954" w:rsidRDefault="00F540C7" w:rsidP="00A1714E">
            <w:pPr>
              <w:keepNext/>
              <w:spacing w:before="40" w:after="40" w:line="240" w:lineRule="auto"/>
              <w:jc w:val="right"/>
              <w:rPr>
                <w:b/>
                <w:color w:val="0000FF"/>
              </w:rPr>
            </w:pPr>
            <w:r w:rsidRPr="001E6954">
              <w:rPr>
                <w:b/>
                <w:bCs/>
                <w:iCs/>
                <w:color w:val="00577D"/>
                <w:szCs w:val="40"/>
              </w:rPr>
              <w:t>Non-compliant</w:t>
            </w:r>
          </w:p>
        </w:tc>
      </w:tr>
      <w:tr w:rsidR="00F540C7" w14:paraId="04C71D8A" w14:textId="77777777" w:rsidTr="00A1714E">
        <w:trPr>
          <w:trHeight w:val="227"/>
        </w:trPr>
        <w:tc>
          <w:tcPr>
            <w:tcW w:w="3942" w:type="pct"/>
            <w:shd w:val="clear" w:color="auto" w:fill="auto"/>
          </w:tcPr>
          <w:p w14:paraId="66B9790E" w14:textId="77777777" w:rsidR="00F540C7" w:rsidRPr="001E6954" w:rsidRDefault="00F540C7" w:rsidP="00A1714E">
            <w:pPr>
              <w:spacing w:before="40" w:after="40" w:line="240" w:lineRule="auto"/>
              <w:ind w:left="318" w:hanging="7"/>
            </w:pPr>
            <w:r w:rsidRPr="001E6954">
              <w:t>Requirement 3(3)(b)</w:t>
            </w:r>
          </w:p>
        </w:tc>
        <w:tc>
          <w:tcPr>
            <w:tcW w:w="1058" w:type="pct"/>
            <w:shd w:val="clear" w:color="auto" w:fill="auto"/>
          </w:tcPr>
          <w:p w14:paraId="7465E9CC" w14:textId="77777777" w:rsidR="00F540C7" w:rsidRPr="001E6954" w:rsidRDefault="00F540C7" w:rsidP="00A1714E">
            <w:pPr>
              <w:spacing w:before="40" w:after="40" w:line="240" w:lineRule="auto"/>
              <w:jc w:val="right"/>
              <w:rPr>
                <w:color w:val="0000FF"/>
              </w:rPr>
            </w:pPr>
            <w:r w:rsidRPr="001E6954">
              <w:rPr>
                <w:bCs/>
                <w:iCs/>
                <w:color w:val="00577D"/>
                <w:szCs w:val="40"/>
              </w:rPr>
              <w:t>Non-compliant</w:t>
            </w:r>
          </w:p>
        </w:tc>
      </w:tr>
      <w:bookmarkEnd w:id="3"/>
    </w:tbl>
    <w:p w14:paraId="65C4F64C" w14:textId="77777777" w:rsidR="00F540C7" w:rsidRDefault="00F540C7" w:rsidP="00F540C7">
      <w:pPr>
        <w:sectPr w:rsidR="00F540C7" w:rsidSect="001416E6">
          <w:headerReference w:type="first" r:id="rId16"/>
          <w:pgSz w:w="11906" w:h="16838"/>
          <w:pgMar w:top="1701" w:right="1418" w:bottom="1418" w:left="1418" w:header="709" w:footer="397" w:gutter="0"/>
          <w:cols w:space="708"/>
          <w:docGrid w:linePitch="360"/>
        </w:sectPr>
      </w:pPr>
    </w:p>
    <w:p w14:paraId="5029A02B" w14:textId="77777777" w:rsidR="00F540C7" w:rsidRPr="00D21DCD" w:rsidRDefault="00F540C7" w:rsidP="00F540C7">
      <w:pPr>
        <w:pStyle w:val="Heading1"/>
      </w:pPr>
      <w:r>
        <w:lastRenderedPageBreak/>
        <w:t>Detailed assessment</w:t>
      </w:r>
    </w:p>
    <w:p w14:paraId="67F2744D" w14:textId="77777777" w:rsidR="00F540C7" w:rsidRPr="00D63989" w:rsidRDefault="00F540C7" w:rsidP="00F540C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B649047" w14:textId="77777777" w:rsidR="00F540C7" w:rsidRPr="001E6954" w:rsidRDefault="00F540C7" w:rsidP="00F540C7">
      <w:pPr>
        <w:rPr>
          <w:color w:val="auto"/>
        </w:rPr>
      </w:pPr>
      <w:r w:rsidRPr="00D63989">
        <w:t>The report also specifies areas in which improvements must be made to ensure the Quality Standards are complied with.</w:t>
      </w:r>
    </w:p>
    <w:p w14:paraId="3BFFD99F" w14:textId="77777777" w:rsidR="00F540C7" w:rsidRPr="00D63989" w:rsidRDefault="00F540C7" w:rsidP="00F540C7">
      <w:r w:rsidRPr="00D63989">
        <w:t xml:space="preserve">The following information has been </w:t>
      </w:r>
      <w:proofErr w:type="gramStart"/>
      <w:r w:rsidRPr="00D63989">
        <w:t>taken into account</w:t>
      </w:r>
      <w:proofErr w:type="gramEnd"/>
      <w:r w:rsidRPr="00D63989">
        <w:t xml:space="preserve"> in developing this performance report:</w:t>
      </w:r>
    </w:p>
    <w:p w14:paraId="614C7CD4" w14:textId="77777777" w:rsidR="00F540C7" w:rsidRPr="00572FB3" w:rsidRDefault="00F540C7" w:rsidP="00F540C7">
      <w:pPr>
        <w:pStyle w:val="ListBullet"/>
      </w:pPr>
      <w:r>
        <w:t>t</w:t>
      </w:r>
      <w:r w:rsidRPr="00D63989">
        <w:t xml:space="preserve">he Assessment Team’s report for the </w:t>
      </w:r>
      <w:r w:rsidRPr="00572FB3">
        <w:t>Assessment Contact - Site; the Assessment Contact - Site report was informed by a site assessment, observations at the service, review of documents and interviews with staff, consumers/representatives and others</w:t>
      </w:r>
    </w:p>
    <w:p w14:paraId="162BD53B" w14:textId="77777777" w:rsidR="002E561B" w:rsidRDefault="00F540C7" w:rsidP="00F540C7">
      <w:pPr>
        <w:pStyle w:val="ListBullet"/>
        <w:sectPr w:rsidR="002E561B" w:rsidSect="00FB0086">
          <w:headerReference w:type="first" r:id="rId17"/>
          <w:pgSz w:w="11906" w:h="16838"/>
          <w:pgMar w:top="1701" w:right="1418" w:bottom="1418" w:left="1418" w:header="709" w:footer="397" w:gutter="0"/>
          <w:cols w:space="708"/>
          <w:docGrid w:linePitch="360"/>
        </w:sectPr>
      </w:pPr>
      <w:r w:rsidRPr="00572FB3">
        <w:t>the provider’s response to the Assessment Contact - Site report received 6 July 2021</w:t>
      </w:r>
      <w:r>
        <w:t>.</w:t>
      </w:r>
    </w:p>
    <w:p w14:paraId="0D0803BA" w14:textId="55CDC86F" w:rsidR="00F540C7" w:rsidRPr="00C530DD" w:rsidRDefault="00F540C7" w:rsidP="002E561B">
      <w:pPr>
        <w:pStyle w:val="Heading1"/>
        <w:tabs>
          <w:tab w:val="right" w:pos="9070"/>
        </w:tabs>
        <w:spacing w:before="560" w:after="640"/>
        <w:sectPr w:rsidR="00F540C7" w:rsidRPr="00C530DD" w:rsidSect="00FB008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0288" behindDoc="1" locked="0" layoutInCell="1" allowOverlap="1" wp14:anchorId="661C5586" wp14:editId="6809E4C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5598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783A2A2" w14:textId="77777777" w:rsidR="00F540C7" w:rsidRPr="00FD1B02" w:rsidRDefault="00F540C7" w:rsidP="00F540C7">
      <w:pPr>
        <w:pStyle w:val="Heading3"/>
        <w:shd w:val="clear" w:color="auto" w:fill="F2F2F2" w:themeFill="background1" w:themeFillShade="F2"/>
      </w:pPr>
      <w:r w:rsidRPr="00FD1B02">
        <w:t>Consumer outcome:</w:t>
      </w:r>
    </w:p>
    <w:p w14:paraId="6002CCD5" w14:textId="77777777" w:rsidR="00F540C7" w:rsidRDefault="00F540C7" w:rsidP="00F540C7">
      <w:pPr>
        <w:numPr>
          <w:ilvl w:val="0"/>
          <w:numId w:val="3"/>
        </w:numPr>
        <w:shd w:val="clear" w:color="auto" w:fill="F2F2F2" w:themeFill="background1" w:themeFillShade="F2"/>
      </w:pPr>
      <w:r>
        <w:t>I get personal care, clinical care, or both personal care and clinical care, that is safe and right for me.</w:t>
      </w:r>
    </w:p>
    <w:p w14:paraId="6678F91E" w14:textId="77777777" w:rsidR="00F540C7" w:rsidRDefault="00F540C7" w:rsidP="00F540C7">
      <w:pPr>
        <w:pStyle w:val="Heading3"/>
        <w:shd w:val="clear" w:color="auto" w:fill="F2F2F2" w:themeFill="background1" w:themeFillShade="F2"/>
      </w:pPr>
      <w:r>
        <w:t>Organisation statement:</w:t>
      </w:r>
    </w:p>
    <w:p w14:paraId="49F9E9C3" w14:textId="77777777" w:rsidR="00F540C7" w:rsidRDefault="00F540C7" w:rsidP="00F540C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389ACF8" w14:textId="77777777" w:rsidR="00F540C7" w:rsidRDefault="00F540C7" w:rsidP="00F540C7">
      <w:pPr>
        <w:pStyle w:val="Heading2"/>
      </w:pPr>
      <w:r>
        <w:t>Assessment of Standard 3</w:t>
      </w:r>
    </w:p>
    <w:p w14:paraId="23BD5261" w14:textId="77777777" w:rsidR="00F540C7" w:rsidRPr="00163FEE" w:rsidRDefault="00F540C7" w:rsidP="00F540C7">
      <w:pPr>
        <w:rPr>
          <w:rFonts w:eastAsia="Calibri"/>
          <w:lang w:eastAsia="en-US"/>
        </w:rPr>
      </w:pPr>
      <w:r w:rsidRPr="3A67C6AF">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3A67C6AF">
        <w:rPr>
          <w:rFonts w:eastAsia="Calibri"/>
          <w:lang w:eastAsia="en-US"/>
        </w:rPr>
        <w:t>reviewed</w:t>
      </w:r>
      <w:proofErr w:type="gramEnd"/>
      <w:r w:rsidRPr="3A67C6AF">
        <w:rPr>
          <w:rFonts w:eastAsia="Calibri"/>
          <w:lang w:eastAsia="en-US"/>
        </w:rPr>
        <w:t xml:space="preserve"> and staff were asked about how they ensure the delivery of safe and effective care for consumers. The team also examined relevant documents.</w:t>
      </w:r>
    </w:p>
    <w:p w14:paraId="310E1421" w14:textId="77777777" w:rsidR="00F540C7" w:rsidRDefault="00F540C7" w:rsidP="00F540C7">
      <w:pPr>
        <w:rPr>
          <w:rFonts w:eastAsia="Calibri"/>
          <w:color w:val="auto"/>
          <w:lang w:eastAsia="en-US"/>
        </w:rPr>
      </w:pPr>
      <w:r w:rsidRPr="3A67C6AF">
        <w:rPr>
          <w:rFonts w:eastAsia="Calibri"/>
          <w:color w:val="auto"/>
          <w:lang w:eastAsia="en-US"/>
        </w:rPr>
        <w:t xml:space="preserve">The Assessment Team </w:t>
      </w:r>
      <w:proofErr w:type="gramStart"/>
      <w:r w:rsidRPr="3A67C6AF">
        <w:rPr>
          <w:rFonts w:eastAsia="Calibri"/>
          <w:color w:val="auto"/>
          <w:lang w:eastAsia="en-US"/>
        </w:rPr>
        <w:t>conducted a</w:t>
      </w:r>
      <w:r>
        <w:rPr>
          <w:rFonts w:eastAsia="Calibri"/>
          <w:color w:val="auto"/>
          <w:lang w:eastAsia="en-US"/>
        </w:rPr>
        <w:t>n assessment</w:t>
      </w:r>
      <w:r w:rsidRPr="3A67C6AF">
        <w:rPr>
          <w:rFonts w:eastAsia="Calibri"/>
          <w:color w:val="auto"/>
          <w:lang w:eastAsia="en-US"/>
        </w:rPr>
        <w:t xml:space="preserve"> of</w:t>
      </w:r>
      <w:proofErr w:type="gramEnd"/>
      <w:r w:rsidRPr="3A67C6AF">
        <w:rPr>
          <w:rFonts w:eastAsia="Calibri"/>
          <w:color w:val="auto"/>
          <w:lang w:eastAsia="en-US"/>
        </w:rPr>
        <w:t xml:space="preserve"> </w:t>
      </w:r>
      <w:r>
        <w:rPr>
          <w:rFonts w:eastAsia="Calibri"/>
          <w:color w:val="auto"/>
          <w:lang w:eastAsia="en-US"/>
        </w:rPr>
        <w:t xml:space="preserve">Standard 3 </w:t>
      </w:r>
      <w:r w:rsidRPr="3A67C6AF">
        <w:rPr>
          <w:rFonts w:eastAsia="Calibri"/>
          <w:color w:val="auto"/>
          <w:lang w:eastAsia="en-US"/>
        </w:rPr>
        <w:t xml:space="preserve">Requirement </w:t>
      </w:r>
      <w:r>
        <w:rPr>
          <w:rFonts w:eastAsia="Calibri"/>
          <w:color w:val="auto"/>
          <w:lang w:eastAsia="en-US"/>
        </w:rPr>
        <w:t>(</w:t>
      </w:r>
      <w:r w:rsidRPr="3A67C6AF">
        <w:rPr>
          <w:rFonts w:eastAsia="Calibri"/>
          <w:color w:val="auto"/>
          <w:lang w:eastAsia="en-US"/>
        </w:rPr>
        <w:t>3</w:t>
      </w:r>
      <w:r>
        <w:rPr>
          <w:rFonts w:eastAsia="Calibri"/>
          <w:color w:val="auto"/>
          <w:lang w:eastAsia="en-US"/>
        </w:rPr>
        <w:t xml:space="preserve">) </w:t>
      </w:r>
      <w:r w:rsidRPr="3A67C6AF">
        <w:rPr>
          <w:rFonts w:eastAsia="Calibri"/>
          <w:color w:val="auto"/>
          <w:lang w:eastAsia="en-US"/>
        </w:rPr>
        <w:t>(</w:t>
      </w:r>
      <w:r>
        <w:rPr>
          <w:rFonts w:eastAsia="Calibri"/>
          <w:color w:val="auto"/>
          <w:lang w:eastAsia="en-US"/>
        </w:rPr>
        <w:t>b</w:t>
      </w:r>
      <w:r w:rsidRPr="3A67C6AF">
        <w:rPr>
          <w:rFonts w:eastAsia="Calibri"/>
          <w:color w:val="auto"/>
          <w:lang w:eastAsia="en-US"/>
        </w:rPr>
        <w:t xml:space="preserve">), high impact and high prevalence risks, specifically in relation to pressure injuries and wound care. </w:t>
      </w:r>
      <w:r>
        <w:rPr>
          <w:rFonts w:eastAsia="Calibri"/>
          <w:color w:val="auto"/>
          <w:lang w:eastAsia="en-US"/>
        </w:rPr>
        <w:t>The Assessment Team reviewed t</w:t>
      </w:r>
      <w:r w:rsidRPr="3A67C6AF">
        <w:rPr>
          <w:rFonts w:eastAsia="Calibri"/>
          <w:color w:val="auto"/>
          <w:lang w:eastAsia="en-US"/>
        </w:rPr>
        <w:t xml:space="preserve">wo consumers, </w:t>
      </w:r>
      <w:r>
        <w:rPr>
          <w:rFonts w:eastAsia="Calibri"/>
          <w:color w:val="auto"/>
          <w:lang w:eastAsia="en-US"/>
        </w:rPr>
        <w:t>conducted interviews</w:t>
      </w:r>
      <w:r w:rsidRPr="3A67C6AF">
        <w:rPr>
          <w:rFonts w:eastAsia="Calibri"/>
          <w:color w:val="auto"/>
          <w:lang w:eastAsia="en-US"/>
        </w:rPr>
        <w:t xml:space="preserve"> with one consumer and one representative and staff to understand further how the service manages this Requirement. </w:t>
      </w:r>
    </w:p>
    <w:p w14:paraId="0426F502" w14:textId="72D28883" w:rsidR="00F540C7" w:rsidRDefault="00F540C7" w:rsidP="00F540C7">
      <w:pPr>
        <w:rPr>
          <w:rFonts w:eastAsia="Calibri"/>
          <w:color w:val="auto"/>
          <w:lang w:eastAsia="en-US"/>
        </w:rPr>
      </w:pPr>
      <w:r>
        <w:rPr>
          <w:rFonts w:eastAsia="Calibri"/>
          <w:color w:val="auto"/>
          <w:lang w:eastAsia="en-US"/>
        </w:rPr>
        <w:t>Based on the Assessment Team’s report and the approved provider’s response</w:t>
      </w:r>
      <w:r w:rsidR="005A689A">
        <w:rPr>
          <w:rFonts w:eastAsia="Calibri"/>
          <w:color w:val="auto"/>
          <w:lang w:eastAsia="en-US"/>
        </w:rPr>
        <w:t>,</w:t>
      </w:r>
      <w:r>
        <w:rPr>
          <w:rFonts w:eastAsia="Calibri"/>
          <w:color w:val="auto"/>
          <w:lang w:eastAsia="en-US"/>
        </w:rPr>
        <w:t xml:space="preserve"> I find the approved provider is Non-compliant with this Requirement. </w:t>
      </w:r>
    </w:p>
    <w:p w14:paraId="3B2958AD" w14:textId="77777777" w:rsidR="00F540C7" w:rsidRPr="00AC77BB" w:rsidRDefault="00F540C7" w:rsidP="00F540C7">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3C3BBBC4" w14:textId="77777777" w:rsidR="00F540C7" w:rsidRPr="00853601" w:rsidRDefault="00F540C7" w:rsidP="00F540C7">
      <w:pPr>
        <w:pStyle w:val="Heading3"/>
      </w:pPr>
      <w:r w:rsidRPr="00853601">
        <w:t>Requirement 3(3)(b)</w:t>
      </w:r>
      <w:r>
        <w:tab/>
        <w:t>Non-compliant</w:t>
      </w:r>
    </w:p>
    <w:p w14:paraId="5A9F1CA7" w14:textId="77777777" w:rsidR="00F540C7" w:rsidRPr="0059366D" w:rsidRDefault="00F540C7" w:rsidP="00F540C7">
      <w:pPr>
        <w:rPr>
          <w:i/>
        </w:rPr>
      </w:pPr>
      <w:r w:rsidRPr="008D114F">
        <w:rPr>
          <w:i/>
          <w:szCs w:val="22"/>
        </w:rPr>
        <w:t>Effective management of high impact or high prevalence risks associated with the care of each consumer.</w:t>
      </w:r>
    </w:p>
    <w:p w14:paraId="251B1354" w14:textId="08965EC0" w:rsidR="00F540C7" w:rsidRDefault="009D5010" w:rsidP="00F540C7">
      <w:pPr>
        <w:rPr>
          <w:color w:val="auto"/>
          <w:szCs w:val="22"/>
        </w:rPr>
      </w:pPr>
      <w:r w:rsidRPr="3A67C6AF">
        <w:rPr>
          <w:rFonts w:eastAsia="Arial"/>
          <w:color w:val="000000" w:themeColor="text1"/>
        </w:rPr>
        <w:t>The service was unable to demonstrate effective management of high impact or high prevalence risks associated with two consumers’ care</w:t>
      </w:r>
      <w:r>
        <w:rPr>
          <w:rFonts w:eastAsia="Arial"/>
          <w:color w:val="000000" w:themeColor="text1"/>
        </w:rPr>
        <w:t xml:space="preserve">. </w:t>
      </w:r>
      <w:r w:rsidR="00F540C7">
        <w:rPr>
          <w:color w:val="auto"/>
          <w:szCs w:val="22"/>
        </w:rPr>
        <w:t xml:space="preserve">The Assessment Team found for the sampled consumers that: </w:t>
      </w:r>
    </w:p>
    <w:p w14:paraId="1AC13D22" w14:textId="0CD4B260" w:rsidR="00F540C7" w:rsidRPr="0090369E" w:rsidRDefault="00F540C7" w:rsidP="00A32A4E">
      <w:pPr>
        <w:pStyle w:val="ListParagraph"/>
        <w:numPr>
          <w:ilvl w:val="0"/>
          <w:numId w:val="38"/>
        </w:numPr>
        <w:ind w:left="425" w:hanging="425"/>
        <w:contextualSpacing w:val="0"/>
        <w:rPr>
          <w:color w:val="auto"/>
          <w:szCs w:val="22"/>
        </w:rPr>
      </w:pPr>
      <w:r>
        <w:rPr>
          <w:color w:val="auto"/>
          <w:szCs w:val="22"/>
        </w:rPr>
        <w:lastRenderedPageBreak/>
        <w:t xml:space="preserve">The service did not demonstrate effective monitoring and management of a consumer’s pressure injury which developed in January 2021, this includes appropriate </w:t>
      </w:r>
      <w:r w:rsidRPr="002C5D2C">
        <w:rPr>
          <w:rFonts w:eastAsia="Arial"/>
          <w:color w:val="000000" w:themeColor="text1"/>
        </w:rPr>
        <w:t>plan</w:t>
      </w:r>
      <w:r>
        <w:rPr>
          <w:rFonts w:eastAsia="Arial"/>
          <w:color w:val="000000" w:themeColor="text1"/>
        </w:rPr>
        <w:t>ning</w:t>
      </w:r>
      <w:r w:rsidRPr="002C5D2C">
        <w:rPr>
          <w:rFonts w:eastAsia="Arial"/>
          <w:color w:val="000000" w:themeColor="text1"/>
        </w:rPr>
        <w:t xml:space="preserve"> </w:t>
      </w:r>
      <w:r w:rsidR="005A689A">
        <w:rPr>
          <w:rFonts w:eastAsia="Arial"/>
          <w:color w:val="000000" w:themeColor="text1"/>
        </w:rPr>
        <w:t>and</w:t>
      </w:r>
      <w:r>
        <w:rPr>
          <w:rFonts w:eastAsia="Arial"/>
          <w:color w:val="000000" w:themeColor="text1"/>
        </w:rPr>
        <w:t xml:space="preserve"> </w:t>
      </w:r>
      <w:r w:rsidRPr="003E244B">
        <w:rPr>
          <w:rFonts w:eastAsia="Arial"/>
          <w:color w:val="auto"/>
        </w:rPr>
        <w:t xml:space="preserve">implementation of effective </w:t>
      </w:r>
      <w:r w:rsidRPr="002C5D2C">
        <w:rPr>
          <w:rFonts w:eastAsia="Arial"/>
          <w:color w:val="000000" w:themeColor="text1"/>
        </w:rPr>
        <w:t xml:space="preserve">management </w:t>
      </w:r>
      <w:r>
        <w:rPr>
          <w:rFonts w:eastAsia="Arial"/>
          <w:color w:val="000000" w:themeColor="text1"/>
        </w:rPr>
        <w:t xml:space="preserve">in response to the </w:t>
      </w:r>
      <w:r w:rsidRPr="002C5D2C">
        <w:rPr>
          <w:rFonts w:eastAsia="Arial"/>
          <w:color w:val="000000" w:themeColor="text1"/>
        </w:rPr>
        <w:t xml:space="preserve">signs and symptoms of reduced perfusion (blood flow) </w:t>
      </w:r>
      <w:r>
        <w:rPr>
          <w:rFonts w:eastAsia="Arial"/>
          <w:color w:val="000000" w:themeColor="text1"/>
        </w:rPr>
        <w:t>for the consumer.</w:t>
      </w:r>
    </w:p>
    <w:p w14:paraId="0252FD00" w14:textId="49EFB217" w:rsidR="00F540C7" w:rsidRPr="0090369E" w:rsidRDefault="00F540C7" w:rsidP="00A32A4E">
      <w:pPr>
        <w:pStyle w:val="ListParagraph"/>
        <w:numPr>
          <w:ilvl w:val="0"/>
          <w:numId w:val="38"/>
        </w:numPr>
        <w:ind w:left="425" w:hanging="425"/>
        <w:contextualSpacing w:val="0"/>
      </w:pPr>
      <w:r w:rsidRPr="00EE3F42">
        <w:rPr>
          <w:rFonts w:eastAsia="Arial"/>
          <w:color w:val="000000" w:themeColor="text1"/>
        </w:rPr>
        <w:t xml:space="preserve">Wound documentation was not recorded </w:t>
      </w:r>
      <w:r w:rsidR="005A689A">
        <w:rPr>
          <w:rFonts w:eastAsia="Arial"/>
          <w:color w:val="000000" w:themeColor="text1"/>
        </w:rPr>
        <w:t>accurately</w:t>
      </w:r>
      <w:r w:rsidRPr="00EE3F42">
        <w:rPr>
          <w:rFonts w:eastAsia="Arial"/>
          <w:color w:val="000000" w:themeColor="text1"/>
        </w:rPr>
        <w:t xml:space="preserve">, and information documented did not reflect all wounds and measurements to signify deterioration or healing. </w:t>
      </w:r>
    </w:p>
    <w:p w14:paraId="44C08C97" w14:textId="564F42A8" w:rsidR="00F540C7" w:rsidRDefault="00F540C7" w:rsidP="00A32A4E">
      <w:pPr>
        <w:pStyle w:val="ListParagraph"/>
        <w:numPr>
          <w:ilvl w:val="0"/>
          <w:numId w:val="38"/>
        </w:numPr>
        <w:ind w:left="425" w:hanging="425"/>
        <w:contextualSpacing w:val="0"/>
        <w:rPr>
          <w:color w:val="auto"/>
          <w:szCs w:val="22"/>
        </w:rPr>
      </w:pPr>
      <w:r>
        <w:rPr>
          <w:color w:val="auto"/>
          <w:szCs w:val="22"/>
        </w:rPr>
        <w:t xml:space="preserve">Skin assessments were not conducted in response to changes in </w:t>
      </w:r>
      <w:r w:rsidR="005A689A">
        <w:rPr>
          <w:color w:val="auto"/>
          <w:szCs w:val="22"/>
        </w:rPr>
        <w:t>a consumer’s</w:t>
      </w:r>
      <w:r>
        <w:rPr>
          <w:color w:val="auto"/>
          <w:szCs w:val="22"/>
        </w:rPr>
        <w:t xml:space="preserve"> skin and previous assessments did not demonstrate clear interventions in relation pressure injury prevention and management as per wound specialist advice.</w:t>
      </w:r>
    </w:p>
    <w:p w14:paraId="29DE616A" w14:textId="4BB8314F" w:rsidR="00F540C7" w:rsidRPr="00134F0E" w:rsidRDefault="00F540C7" w:rsidP="00A32A4E">
      <w:pPr>
        <w:pStyle w:val="ListParagraph"/>
        <w:numPr>
          <w:ilvl w:val="0"/>
          <w:numId w:val="39"/>
        </w:numPr>
        <w:ind w:left="425" w:hanging="425"/>
        <w:contextualSpacing w:val="0"/>
        <w:rPr>
          <w:rFonts w:asciiTheme="minorHAnsi" w:eastAsiaTheme="minorEastAsia" w:hAnsiTheme="minorHAnsi" w:cstheme="minorBidi"/>
          <w:color w:val="000000" w:themeColor="text1"/>
        </w:rPr>
      </w:pPr>
      <w:r w:rsidRPr="3A67C6AF">
        <w:rPr>
          <w:rFonts w:eastAsia="Arial"/>
          <w:color w:val="auto"/>
        </w:rPr>
        <w:t xml:space="preserve">The service did not demonstrate effective assessment </w:t>
      </w:r>
      <w:r w:rsidR="005A689A">
        <w:rPr>
          <w:rFonts w:eastAsia="Arial"/>
          <w:color w:val="auto"/>
        </w:rPr>
        <w:t xml:space="preserve">and intervention </w:t>
      </w:r>
      <w:r w:rsidRPr="3A67C6AF">
        <w:rPr>
          <w:rFonts w:eastAsia="Arial"/>
          <w:color w:val="auto"/>
        </w:rPr>
        <w:t xml:space="preserve">for </w:t>
      </w:r>
      <w:r w:rsidR="005A689A">
        <w:rPr>
          <w:rFonts w:eastAsia="Arial"/>
          <w:color w:val="auto"/>
        </w:rPr>
        <w:t xml:space="preserve">the </w:t>
      </w:r>
      <w:r w:rsidRPr="3A67C6AF">
        <w:rPr>
          <w:rFonts w:eastAsia="Arial"/>
          <w:color w:val="auto"/>
        </w:rPr>
        <w:t>management of</w:t>
      </w:r>
      <w:r>
        <w:rPr>
          <w:rFonts w:eastAsia="Arial"/>
          <w:color w:val="auto"/>
        </w:rPr>
        <w:t xml:space="preserve"> consumers’ pain. The service did not demonstrate </w:t>
      </w:r>
      <w:r w:rsidR="005A689A">
        <w:rPr>
          <w:rFonts w:eastAsia="Arial"/>
          <w:color w:val="auto"/>
        </w:rPr>
        <w:t xml:space="preserve">that </w:t>
      </w:r>
      <w:r>
        <w:rPr>
          <w:rFonts w:eastAsia="Arial"/>
          <w:color w:val="auto"/>
        </w:rPr>
        <w:t>pain assessments, monitoring and review w</w:t>
      </w:r>
      <w:r w:rsidR="005A689A">
        <w:rPr>
          <w:rFonts w:eastAsia="Arial"/>
          <w:color w:val="auto"/>
        </w:rPr>
        <w:t>ere</w:t>
      </w:r>
      <w:r>
        <w:rPr>
          <w:rFonts w:eastAsia="Arial"/>
          <w:color w:val="auto"/>
        </w:rPr>
        <w:t xml:space="preserve"> completed in accordance with the service’s pain management policy. </w:t>
      </w:r>
    </w:p>
    <w:p w14:paraId="534BE0D8" w14:textId="77777777" w:rsidR="00F540C7" w:rsidRPr="00C943B7" w:rsidRDefault="00F540C7" w:rsidP="00A32A4E">
      <w:pPr>
        <w:pStyle w:val="ListParagraph"/>
        <w:numPr>
          <w:ilvl w:val="0"/>
          <w:numId w:val="39"/>
        </w:numPr>
        <w:ind w:left="425" w:hanging="425"/>
        <w:contextualSpacing w:val="0"/>
        <w:rPr>
          <w:rFonts w:asciiTheme="minorHAnsi" w:eastAsiaTheme="minorEastAsia" w:hAnsiTheme="minorHAnsi" w:cstheme="minorBidi"/>
          <w:color w:val="000000" w:themeColor="text1"/>
        </w:rPr>
      </w:pPr>
      <w:r w:rsidRPr="3A67C6AF">
        <w:rPr>
          <w:rFonts w:eastAsia="Arial"/>
          <w:color w:val="auto"/>
        </w:rPr>
        <w:t xml:space="preserve">The service did not demonstrate effective assessment or management of </w:t>
      </w:r>
      <w:r>
        <w:rPr>
          <w:rFonts w:eastAsia="Arial"/>
          <w:color w:val="auto"/>
        </w:rPr>
        <w:t>the consumer’s</w:t>
      </w:r>
      <w:r w:rsidRPr="3A67C6AF">
        <w:rPr>
          <w:rFonts w:eastAsia="Arial"/>
          <w:color w:val="auto"/>
        </w:rPr>
        <w:t xml:space="preserve"> hydration or nutritional needs.</w:t>
      </w:r>
      <w:r>
        <w:rPr>
          <w:rFonts w:eastAsia="Arial"/>
          <w:color w:val="auto"/>
        </w:rPr>
        <w:t xml:space="preserve"> </w:t>
      </w:r>
    </w:p>
    <w:p w14:paraId="20FDA74C" w14:textId="082169F4" w:rsidR="00F540C7" w:rsidRPr="00323334" w:rsidRDefault="00F540C7" w:rsidP="00F540C7">
      <w:pPr>
        <w:rPr>
          <w:color w:val="auto"/>
        </w:rPr>
      </w:pPr>
      <w:r>
        <w:rPr>
          <w:rFonts w:eastAsiaTheme="minorEastAsia"/>
          <w:color w:val="000000" w:themeColor="text1"/>
        </w:rPr>
        <w:t>The approved provider submitted a written response and supporting documents in relation to the Assessment Team’s assessment contact report. The approved provider’s response provided further information in relation the issues identified by the Assessment Team. In their response, the approved provider also details they do not agree with all the Assessment Team’s findings. It is acknowledged the approved provider has demonstrated they delivered some aspects of personal and clinical care for the consumers. However, the approved provider’s response does not overcome or negate</w:t>
      </w:r>
      <w:r>
        <w:rPr>
          <w:color w:val="auto"/>
        </w:rPr>
        <w:t xml:space="preserve"> all evidence gathered by the Assessment Team in relation to effectively managing all risks associated with </w:t>
      </w:r>
      <w:r w:rsidR="006D0944">
        <w:rPr>
          <w:color w:val="auto"/>
        </w:rPr>
        <w:t xml:space="preserve">two </w:t>
      </w:r>
      <w:r w:rsidR="00B236B7">
        <w:rPr>
          <w:color w:val="auto"/>
        </w:rPr>
        <w:t>consumers’</w:t>
      </w:r>
      <w:r w:rsidR="006D0944">
        <w:rPr>
          <w:color w:val="auto"/>
        </w:rPr>
        <w:t xml:space="preserve"> care</w:t>
      </w:r>
      <w:r>
        <w:rPr>
          <w:color w:val="auto"/>
        </w:rPr>
        <w:t xml:space="preserve">. </w:t>
      </w:r>
    </w:p>
    <w:p w14:paraId="3E07C682" w14:textId="49DB277A" w:rsidR="00F540C7" w:rsidRDefault="00F540C7" w:rsidP="00F540C7">
      <w:pPr>
        <w:rPr>
          <w:rFonts w:eastAsiaTheme="minorEastAsia"/>
          <w:color w:val="000000" w:themeColor="text1"/>
        </w:rPr>
      </w:pPr>
      <w:r>
        <w:rPr>
          <w:rFonts w:eastAsiaTheme="minorEastAsia"/>
          <w:color w:val="000000" w:themeColor="text1"/>
        </w:rPr>
        <w:t xml:space="preserve">In relation to pain charting and assessment, the approved provider’s response details that pain charts and assessments were completed for the two consumers. The approved provider submitted the consumers’ pain charts and assessments. </w:t>
      </w:r>
      <w:proofErr w:type="gramStart"/>
      <w:r>
        <w:rPr>
          <w:rFonts w:eastAsiaTheme="minorEastAsia"/>
          <w:color w:val="000000" w:themeColor="text1"/>
        </w:rPr>
        <w:t>However</w:t>
      </w:r>
      <w:proofErr w:type="gramEnd"/>
      <w:r w:rsidR="00B236B7">
        <w:rPr>
          <w:rFonts w:eastAsiaTheme="minorEastAsia"/>
          <w:color w:val="000000" w:themeColor="text1"/>
        </w:rPr>
        <w:t xml:space="preserve"> having reviewed this information,</w:t>
      </w:r>
      <w:r>
        <w:rPr>
          <w:rFonts w:eastAsiaTheme="minorEastAsia"/>
          <w:color w:val="000000" w:themeColor="text1"/>
        </w:rPr>
        <w:t xml:space="preserve"> while the service demonstrate</w:t>
      </w:r>
      <w:r w:rsidR="00B236B7">
        <w:rPr>
          <w:rFonts w:eastAsiaTheme="minorEastAsia"/>
          <w:color w:val="000000" w:themeColor="text1"/>
        </w:rPr>
        <w:t>d</w:t>
      </w:r>
      <w:r>
        <w:rPr>
          <w:rFonts w:eastAsiaTheme="minorEastAsia"/>
          <w:color w:val="000000" w:themeColor="text1"/>
        </w:rPr>
        <w:t xml:space="preserve"> </w:t>
      </w:r>
      <w:r w:rsidR="00B236B7">
        <w:rPr>
          <w:rFonts w:eastAsiaTheme="minorEastAsia"/>
          <w:color w:val="000000" w:themeColor="text1"/>
        </w:rPr>
        <w:t xml:space="preserve">some </w:t>
      </w:r>
      <w:r>
        <w:rPr>
          <w:rFonts w:eastAsiaTheme="minorEastAsia"/>
          <w:color w:val="000000" w:themeColor="text1"/>
        </w:rPr>
        <w:t xml:space="preserve">occasions where the consumers’ pain was assessed and managed, pain charts and assessments did not demonstrate that on all occasions that the consumer reported or was assessed to have pain, that this pain was managed. Nor did the service demonstrate more comprehensive assessment, escalation, or review when the consumers’ experienced continuous episodes of moderate to severe pain. </w:t>
      </w:r>
    </w:p>
    <w:p w14:paraId="4B573009" w14:textId="0B3E9E00" w:rsidR="00F540C7" w:rsidRDefault="00F540C7" w:rsidP="00F540C7">
      <w:pPr>
        <w:rPr>
          <w:rFonts w:eastAsia="Arial"/>
          <w:color w:val="000000" w:themeColor="text1"/>
        </w:rPr>
      </w:pPr>
      <w:r>
        <w:rPr>
          <w:rFonts w:eastAsiaTheme="minorEastAsia"/>
          <w:color w:val="000000" w:themeColor="text1"/>
        </w:rPr>
        <w:t xml:space="preserve">In relation to </w:t>
      </w:r>
      <w:r w:rsidRPr="002C5D2C">
        <w:rPr>
          <w:rFonts w:eastAsia="Arial"/>
          <w:color w:val="000000" w:themeColor="text1"/>
        </w:rPr>
        <w:t xml:space="preserve">reduced perfusion (blood flow) </w:t>
      </w:r>
      <w:r>
        <w:rPr>
          <w:rFonts w:eastAsia="Arial"/>
          <w:color w:val="000000" w:themeColor="text1"/>
        </w:rPr>
        <w:t xml:space="preserve">for one consumer, it is acknowledged that the approved provider undertook some observations to check blood flow for the consumer. It is </w:t>
      </w:r>
      <w:r w:rsidR="006D0944">
        <w:rPr>
          <w:rFonts w:eastAsia="Arial"/>
          <w:color w:val="000000" w:themeColor="text1"/>
        </w:rPr>
        <w:t xml:space="preserve">also </w:t>
      </w:r>
      <w:r>
        <w:rPr>
          <w:rFonts w:eastAsia="Arial"/>
          <w:color w:val="000000" w:themeColor="text1"/>
        </w:rPr>
        <w:t xml:space="preserve">noted that the consumer had a plaster cast preventing complete </w:t>
      </w:r>
      <w:r>
        <w:rPr>
          <w:rFonts w:eastAsia="Arial"/>
          <w:color w:val="000000" w:themeColor="text1"/>
        </w:rPr>
        <w:lastRenderedPageBreak/>
        <w:t xml:space="preserve">assessment of all relevant observations and that review was sought by their general practitioner on occasions. However, documentation does not demonstrate </w:t>
      </w:r>
      <w:r w:rsidR="00B236B7">
        <w:rPr>
          <w:rFonts w:eastAsia="Arial"/>
          <w:color w:val="000000" w:themeColor="text1"/>
        </w:rPr>
        <w:t xml:space="preserve">consistent regular monitoring or </w:t>
      </w:r>
      <w:r>
        <w:rPr>
          <w:rFonts w:eastAsia="Arial"/>
          <w:color w:val="000000" w:themeColor="text1"/>
        </w:rPr>
        <w:t xml:space="preserve">effective processes to identify, assess and manage the changes in the consumer’s condition in a timely manner. This includes multiple occurrences of severe pain and while the consumer’s pain was managed with oral pain medication, further assessment and monitoring did not occur to consider the changes in </w:t>
      </w:r>
      <w:r w:rsidRPr="00EF64AC">
        <w:rPr>
          <w:rFonts w:eastAsia="Arial"/>
          <w:color w:val="000000" w:themeColor="text1"/>
        </w:rPr>
        <w:t>the consumer’s</w:t>
      </w:r>
      <w:r>
        <w:rPr>
          <w:rFonts w:eastAsia="Arial"/>
          <w:color w:val="000000" w:themeColor="text1"/>
        </w:rPr>
        <w:t xml:space="preserve"> blood flow perfusion status and reported pain. </w:t>
      </w:r>
    </w:p>
    <w:p w14:paraId="6ADA95B2" w14:textId="77777777" w:rsidR="00F540C7" w:rsidRDefault="00F540C7" w:rsidP="00F540C7">
      <w:pPr>
        <w:rPr>
          <w:szCs w:val="22"/>
        </w:rPr>
      </w:pPr>
      <w:r>
        <w:rPr>
          <w:rFonts w:eastAsiaTheme="minorEastAsia"/>
          <w:color w:val="000000" w:themeColor="text1"/>
        </w:rPr>
        <w:t xml:space="preserve">In relation to wound management for two consumers, in their response, the approved provider acknowledged wound charts could have been clearer. It is noted that the service completes head to toe assessments to check the status of consumer’s skin each month. The approved provider’s response and supporting documents do not demonstrate that the findings from these assessments are effectively used to inform safe and effective delivery of the consumer’s care and services. </w:t>
      </w:r>
      <w:r>
        <w:rPr>
          <w:rFonts w:eastAsia="Arial"/>
          <w:color w:val="000000" w:themeColor="text1"/>
        </w:rPr>
        <w:t>While the service demonstrates some aspect of documentation and review of the changes in the consumer’s skin, documentation was inconsistent and did not demonstrate the service effectively identified, managed and assessed the consumers developed and developing pressure injuries.</w:t>
      </w:r>
    </w:p>
    <w:p w14:paraId="5EADB1FE" w14:textId="77777777" w:rsidR="00F540C7" w:rsidRPr="00305152" w:rsidRDefault="00F540C7" w:rsidP="00F540C7">
      <w:pPr>
        <w:rPr>
          <w:i/>
        </w:rPr>
      </w:pPr>
      <w:r>
        <w:rPr>
          <w:szCs w:val="22"/>
        </w:rPr>
        <w:t xml:space="preserve">In relation to nutrition and hydration for one consumer, the approved provider’s response and the Assessment Team’s findings demonstrate some involvement from relevant health professionals such as a dietician. However, the information did not demonstrate the consumer was weighed weekly as per dietician recommendation. Nor did the consumer’s nutrition and hydration monitoring documentation demonstrate consistent daily monitoring or further clinical assessment, monitoring and review when the consumer had no to minimal food and oral intake. </w:t>
      </w:r>
    </w:p>
    <w:p w14:paraId="48923F81" w14:textId="77777777" w:rsidR="00F540C7" w:rsidRPr="0059366D" w:rsidRDefault="00F540C7" w:rsidP="00F540C7">
      <w:pPr>
        <w:contextualSpacing/>
        <w:rPr>
          <w:i/>
        </w:rPr>
      </w:pPr>
      <w:r>
        <w:rPr>
          <w:rFonts w:eastAsiaTheme="minorEastAsia"/>
          <w:color w:val="000000" w:themeColor="text1"/>
        </w:rPr>
        <w:t xml:space="preserve">The approved provider acknowledged that improvement is required, and the following actions are planned or have commenced as outlined in the organisation’s continuous improvement plan: </w:t>
      </w:r>
    </w:p>
    <w:p w14:paraId="2D9B16B9" w14:textId="77777777" w:rsidR="00F540C7" w:rsidRPr="00A32A4E" w:rsidRDefault="00F540C7" w:rsidP="00A32A4E">
      <w:pPr>
        <w:pStyle w:val="ListParagraph"/>
        <w:numPr>
          <w:ilvl w:val="0"/>
          <w:numId w:val="38"/>
        </w:numPr>
        <w:ind w:left="425" w:hanging="425"/>
        <w:contextualSpacing w:val="0"/>
        <w:rPr>
          <w:color w:val="auto"/>
          <w:szCs w:val="22"/>
        </w:rPr>
      </w:pPr>
      <w:r w:rsidRPr="00A32A4E">
        <w:rPr>
          <w:color w:val="auto"/>
          <w:szCs w:val="22"/>
        </w:rPr>
        <w:t xml:space="preserve">The service plans to create checklists to support registered nursing staff to complete care evaluations in line with procedure. This includes transfer and mobility, falls risk, restraint, malnutrition, pain, skin, and end of life. </w:t>
      </w:r>
    </w:p>
    <w:p w14:paraId="31C38F66" w14:textId="77777777" w:rsidR="00F540C7" w:rsidRPr="00A32A4E" w:rsidRDefault="00F540C7" w:rsidP="00A32A4E">
      <w:pPr>
        <w:pStyle w:val="ListParagraph"/>
        <w:numPr>
          <w:ilvl w:val="0"/>
          <w:numId w:val="38"/>
        </w:numPr>
        <w:ind w:left="425" w:hanging="425"/>
        <w:contextualSpacing w:val="0"/>
        <w:rPr>
          <w:color w:val="auto"/>
          <w:szCs w:val="22"/>
        </w:rPr>
      </w:pPr>
      <w:r w:rsidRPr="00A32A4E">
        <w:rPr>
          <w:color w:val="auto"/>
          <w:szCs w:val="22"/>
        </w:rPr>
        <w:t xml:space="preserve">Develop and implement online training regarding care assessment, planning and evaluation, pain management, wound assessment and monitoring, nutrition and hydration management. </w:t>
      </w:r>
    </w:p>
    <w:p w14:paraId="36610DE1" w14:textId="77777777" w:rsidR="00F540C7" w:rsidRPr="00A32A4E" w:rsidRDefault="00F540C7" w:rsidP="00A32A4E">
      <w:pPr>
        <w:pStyle w:val="ListParagraph"/>
        <w:numPr>
          <w:ilvl w:val="0"/>
          <w:numId w:val="38"/>
        </w:numPr>
        <w:ind w:left="425" w:hanging="425"/>
        <w:contextualSpacing w:val="0"/>
        <w:rPr>
          <w:color w:val="auto"/>
          <w:szCs w:val="22"/>
        </w:rPr>
      </w:pPr>
      <w:r w:rsidRPr="00A32A4E">
        <w:rPr>
          <w:color w:val="auto"/>
          <w:szCs w:val="22"/>
        </w:rPr>
        <w:t xml:space="preserve">Review procedures and processes in relation to pain management, wound management, post-acute assessment and management, nutrition and hydration, and monitoring tools for tracking food and fluid intake, recognising and responding to clinical status. </w:t>
      </w:r>
    </w:p>
    <w:p w14:paraId="445E31B4" w14:textId="77777777" w:rsidR="00F540C7" w:rsidRPr="0009688E" w:rsidRDefault="00F540C7" w:rsidP="00A32A4E">
      <w:pPr>
        <w:pStyle w:val="ListParagraph"/>
        <w:numPr>
          <w:ilvl w:val="0"/>
          <w:numId w:val="38"/>
        </w:numPr>
        <w:ind w:left="425" w:hanging="425"/>
        <w:contextualSpacing w:val="0"/>
        <w:rPr>
          <w:rFonts w:eastAsiaTheme="minorEastAsia"/>
          <w:color w:val="000000" w:themeColor="text1"/>
        </w:rPr>
      </w:pPr>
      <w:r w:rsidRPr="00A32A4E">
        <w:rPr>
          <w:color w:val="auto"/>
          <w:szCs w:val="22"/>
        </w:rPr>
        <w:lastRenderedPageBreak/>
        <w:t>Create management monitoring</w:t>
      </w:r>
      <w:r>
        <w:rPr>
          <w:rFonts w:eastAsiaTheme="minorEastAsia"/>
          <w:color w:val="000000" w:themeColor="text1"/>
        </w:rPr>
        <w:t xml:space="preserve"> schedule for regular incident review processes and r</w:t>
      </w:r>
      <w:r w:rsidRPr="00784EF6">
        <w:rPr>
          <w:rFonts w:eastAsiaTheme="minorEastAsia"/>
          <w:color w:val="000000" w:themeColor="text1"/>
        </w:rPr>
        <w:t xml:space="preserve">eview shift handover processes. </w:t>
      </w:r>
    </w:p>
    <w:p w14:paraId="6CA58C5F" w14:textId="77777777" w:rsidR="00F540C7" w:rsidRPr="004052C7" w:rsidRDefault="00F540C7" w:rsidP="00F540C7">
      <w:pPr>
        <w:spacing w:before="120"/>
        <w:rPr>
          <w:iCs/>
          <w:szCs w:val="22"/>
        </w:rPr>
      </w:pPr>
      <w:r>
        <w:rPr>
          <w:iCs/>
          <w:szCs w:val="22"/>
        </w:rPr>
        <w:t xml:space="preserve">The approved provider did not demonstrate </w:t>
      </w:r>
      <w:r>
        <w:rPr>
          <w:color w:val="auto"/>
        </w:rPr>
        <w:t>effective management of all risks associated with the care of consumers for safety and quality including responding appropriately and promptly to consumer’s changing needs, applying best practice guidelines, and delivering consistent care and assessment.</w:t>
      </w:r>
      <w:r>
        <w:rPr>
          <w:iCs/>
          <w:szCs w:val="22"/>
        </w:rPr>
        <w:t xml:space="preserve"> The approved provider also needs time to implement the planned actions to ensure this results in sustained systemic improvements for consumers. </w:t>
      </w:r>
    </w:p>
    <w:p w14:paraId="26070B61" w14:textId="77777777" w:rsidR="00F540C7" w:rsidRPr="00133F1C" w:rsidRDefault="00F540C7" w:rsidP="00F540C7">
      <w:pPr>
        <w:spacing w:before="120"/>
        <w:rPr>
          <w:rFonts w:eastAsia="Fira Sans Light"/>
          <w:iCs/>
          <w:color w:val="auto"/>
          <w:szCs w:val="22"/>
          <w:lang w:eastAsia="en-US"/>
        </w:rPr>
      </w:pPr>
      <w:r w:rsidRPr="00133F1C">
        <w:rPr>
          <w:iCs/>
          <w:szCs w:val="22"/>
        </w:rPr>
        <w:t xml:space="preserve">I find this requirement is Non-compliant. </w:t>
      </w:r>
    </w:p>
    <w:p w14:paraId="774C4D3F" w14:textId="77777777" w:rsidR="00F540C7" w:rsidRPr="00CE06AB" w:rsidRDefault="00F540C7" w:rsidP="00F540C7">
      <w:pPr>
        <w:rPr>
          <w:color w:val="auto"/>
        </w:rPr>
        <w:sectPr w:rsidR="00F540C7" w:rsidRPr="00CE06AB" w:rsidSect="008D7780">
          <w:headerReference w:type="first" r:id="rId18"/>
          <w:type w:val="continuous"/>
          <w:pgSz w:w="11906" w:h="16838"/>
          <w:pgMar w:top="1701" w:right="1418" w:bottom="1418" w:left="1418" w:header="709" w:footer="397" w:gutter="0"/>
          <w:cols w:space="708"/>
          <w:docGrid w:linePitch="360"/>
        </w:sectPr>
      </w:pPr>
    </w:p>
    <w:p w14:paraId="453C4EE4" w14:textId="77777777" w:rsidR="00F540C7" w:rsidRDefault="00F540C7" w:rsidP="00F540C7">
      <w:pPr>
        <w:pStyle w:val="Heading1"/>
      </w:pPr>
      <w:r>
        <w:lastRenderedPageBreak/>
        <w:t>Areas for improvement</w:t>
      </w:r>
    </w:p>
    <w:p w14:paraId="35AB54F9" w14:textId="77777777" w:rsidR="00F540C7" w:rsidRDefault="00F540C7" w:rsidP="00F540C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8E7ADA0" w14:textId="77777777" w:rsidR="00F540C7" w:rsidRPr="00853601" w:rsidRDefault="00F540C7" w:rsidP="00F540C7">
      <w:pPr>
        <w:pStyle w:val="Heading3"/>
      </w:pPr>
      <w:r w:rsidRPr="00853601">
        <w:t>Requirement 3(3)(b)</w:t>
      </w:r>
      <w:r>
        <w:tab/>
      </w:r>
    </w:p>
    <w:p w14:paraId="3AFC8C72" w14:textId="77777777" w:rsidR="00F540C7" w:rsidRPr="00483E3C" w:rsidRDefault="00F540C7" w:rsidP="00F540C7">
      <w:pPr>
        <w:rPr>
          <w:i/>
        </w:rPr>
      </w:pPr>
      <w:r w:rsidRPr="008D114F">
        <w:rPr>
          <w:i/>
          <w:szCs w:val="22"/>
        </w:rPr>
        <w:t>Effective management of high impact or high prevalence risks associated with the care of each consumer.</w:t>
      </w:r>
    </w:p>
    <w:p w14:paraId="05A4C989" w14:textId="77777777" w:rsidR="00F540C7" w:rsidRPr="00A32A4E" w:rsidRDefault="00F540C7" w:rsidP="00A32A4E">
      <w:pPr>
        <w:pStyle w:val="ListParagraph"/>
        <w:numPr>
          <w:ilvl w:val="0"/>
          <w:numId w:val="38"/>
        </w:numPr>
        <w:ind w:left="425" w:hanging="425"/>
        <w:contextualSpacing w:val="0"/>
        <w:rPr>
          <w:color w:val="auto"/>
          <w:szCs w:val="22"/>
        </w:rPr>
      </w:pPr>
      <w:r>
        <w:t xml:space="preserve">Review processes for assessing and monitoring each consumer’s pain to </w:t>
      </w:r>
      <w:r w:rsidRPr="00A32A4E">
        <w:rPr>
          <w:color w:val="auto"/>
          <w:szCs w:val="22"/>
        </w:rPr>
        <w:t xml:space="preserve">ensure pain is effectively identified, assessed, managed, and evaluated. This should include processes to ensure consistent assessment strategies and documentation protocols are used to record the consumer’s pain. </w:t>
      </w:r>
    </w:p>
    <w:p w14:paraId="1DD43143" w14:textId="77777777" w:rsidR="00F540C7" w:rsidRPr="00A32A4E" w:rsidRDefault="00F540C7" w:rsidP="00A32A4E">
      <w:pPr>
        <w:pStyle w:val="ListParagraph"/>
        <w:numPr>
          <w:ilvl w:val="0"/>
          <w:numId w:val="38"/>
        </w:numPr>
        <w:ind w:left="425" w:hanging="425"/>
        <w:contextualSpacing w:val="0"/>
        <w:rPr>
          <w:color w:val="auto"/>
          <w:szCs w:val="22"/>
        </w:rPr>
      </w:pPr>
      <w:r w:rsidRPr="00A32A4E">
        <w:rPr>
          <w:color w:val="auto"/>
          <w:szCs w:val="22"/>
        </w:rPr>
        <w:t xml:space="preserve">Review processes for assessing and documenting wound management. Ensure wound charts clearly identify the location of the wound and required interventions. </w:t>
      </w:r>
    </w:p>
    <w:p w14:paraId="70729C6C" w14:textId="77777777" w:rsidR="00F540C7" w:rsidRPr="00A32A4E" w:rsidRDefault="00F540C7" w:rsidP="00A32A4E">
      <w:pPr>
        <w:pStyle w:val="ListParagraph"/>
        <w:numPr>
          <w:ilvl w:val="0"/>
          <w:numId w:val="38"/>
        </w:numPr>
        <w:ind w:left="425" w:hanging="425"/>
        <w:contextualSpacing w:val="0"/>
        <w:rPr>
          <w:color w:val="auto"/>
          <w:szCs w:val="22"/>
        </w:rPr>
      </w:pPr>
      <w:r w:rsidRPr="00A32A4E">
        <w:rPr>
          <w:color w:val="auto"/>
          <w:szCs w:val="22"/>
        </w:rPr>
        <w:t>Ensure assessment is used to inform and maintain effective management of high impact or high prevalence risks associated with the care of each consumer.</w:t>
      </w:r>
    </w:p>
    <w:p w14:paraId="77E7C734" w14:textId="77777777" w:rsidR="00F540C7" w:rsidRPr="00A261D9" w:rsidRDefault="00F540C7" w:rsidP="00A32A4E">
      <w:pPr>
        <w:pStyle w:val="ListParagraph"/>
        <w:numPr>
          <w:ilvl w:val="0"/>
          <w:numId w:val="38"/>
        </w:numPr>
        <w:ind w:left="425" w:hanging="425"/>
        <w:contextualSpacing w:val="0"/>
      </w:pPr>
      <w:r w:rsidRPr="00A32A4E">
        <w:rPr>
          <w:color w:val="auto"/>
          <w:szCs w:val="22"/>
        </w:rPr>
        <w:t>Implement and maintain an improvement plan to ensure effective processes to recognise and respond in a timely manner to high impact/high prevalence risk associated with the care of each consumer. This includes implementing planned actions outline</w:t>
      </w:r>
      <w:r>
        <w:rPr>
          <w:iCs/>
        </w:rPr>
        <w:t xml:space="preserve"> in the organisation’s continuous improvement plan and reviewing the effectiveness of these. </w:t>
      </w:r>
    </w:p>
    <w:p w14:paraId="11D20C5B" w14:textId="77777777" w:rsidR="00F540C7" w:rsidRPr="00154403" w:rsidRDefault="00F540C7" w:rsidP="00F540C7">
      <w:pPr>
        <w:pStyle w:val="Heading1"/>
        <w:rPr>
          <w:rFonts w:ascii="Arial" w:hAnsi="Arial"/>
          <w:b w:val="0"/>
          <w:i/>
        </w:rPr>
      </w:pPr>
      <w:r>
        <w:t xml:space="preserve">Other relevant matters </w:t>
      </w:r>
    </w:p>
    <w:p w14:paraId="4230B947" w14:textId="1DBB99C1" w:rsidR="00F540C7" w:rsidRPr="002D084B" w:rsidRDefault="00F540C7" w:rsidP="00F540C7">
      <w:pPr>
        <w:rPr>
          <w:color w:val="auto"/>
        </w:rPr>
      </w:pPr>
      <w:r w:rsidRPr="00FA0D23">
        <w:rPr>
          <w:color w:val="auto"/>
        </w:rPr>
        <w:t xml:space="preserve">A </w:t>
      </w:r>
      <w:r>
        <w:rPr>
          <w:color w:val="auto"/>
        </w:rPr>
        <w:t>site audit was conducted on 8 to 10 June 2021 and a finding was made on 4 August 2021</w:t>
      </w:r>
      <w:r w:rsidR="00B9311E">
        <w:rPr>
          <w:color w:val="auto"/>
        </w:rPr>
        <w:t>,</w:t>
      </w:r>
      <w:r>
        <w:rPr>
          <w:color w:val="auto"/>
        </w:rPr>
        <w:t xml:space="preserve"> the service was non-compliant in Standard 3 Requirement 3 (b) </w:t>
      </w:r>
      <w:r>
        <w:rPr>
          <w:color w:val="auto"/>
          <w:szCs w:val="22"/>
        </w:rPr>
        <w:t xml:space="preserve">of </w:t>
      </w:r>
      <w:r w:rsidRPr="3A67C6AF">
        <w:rPr>
          <w:rFonts w:eastAsia="Calibri"/>
          <w:color w:val="auto"/>
          <w:lang w:eastAsia="en-US"/>
        </w:rPr>
        <w:t>high impact and high prevalence risks</w:t>
      </w:r>
      <w:r>
        <w:rPr>
          <w:rFonts w:eastAsia="Calibri"/>
          <w:color w:val="auto"/>
          <w:lang w:eastAsia="en-US"/>
        </w:rPr>
        <w:t xml:space="preserve"> for consumers</w:t>
      </w:r>
      <w:r w:rsidRPr="3A67C6AF">
        <w:rPr>
          <w:rFonts w:eastAsia="Calibri"/>
          <w:color w:val="auto"/>
          <w:lang w:eastAsia="en-US"/>
        </w:rPr>
        <w:t>, specifically in relation to pressure injuries and wound care.</w:t>
      </w:r>
      <w:r>
        <w:rPr>
          <w:color w:val="auto"/>
          <w:szCs w:val="22"/>
        </w:rPr>
        <w:t xml:space="preserve"> </w:t>
      </w:r>
      <w:bookmarkStart w:id="4" w:name="_GoBack"/>
      <w:bookmarkEnd w:id="4"/>
    </w:p>
    <w:sectPr w:rsidR="00F540C7" w:rsidRPr="002D084B" w:rsidSect="002B7F5E">
      <w:headerReference w:type="first" r:id="rId1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C2C37" w14:textId="77777777" w:rsidR="0028669E" w:rsidRDefault="00F540C7">
      <w:pPr>
        <w:spacing w:before="0" w:after="0" w:line="240" w:lineRule="auto"/>
      </w:pPr>
      <w:r>
        <w:separator/>
      </w:r>
    </w:p>
  </w:endnote>
  <w:endnote w:type="continuationSeparator" w:id="0">
    <w:p w14:paraId="0F5C2C39" w14:textId="77777777" w:rsidR="0028669E" w:rsidRDefault="00F540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2AC8" w14:textId="77777777" w:rsidR="00F540C7" w:rsidRPr="009A1F1B" w:rsidRDefault="00F540C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642A14" w14:textId="77777777" w:rsidR="00F540C7" w:rsidRPr="00C72FFB" w:rsidRDefault="00F540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Gaynes Park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5AEF8A4" w14:textId="77777777" w:rsidR="00F540C7" w:rsidRPr="00C72FFB" w:rsidRDefault="00F540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27E5F" w14:textId="77777777" w:rsidR="00F540C7" w:rsidRPr="009A1F1B" w:rsidRDefault="00F540C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E6BDDA" w14:textId="77777777" w:rsidR="00F540C7" w:rsidRPr="00C72FFB" w:rsidRDefault="00F540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Gaynes Park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80E4F01" w14:textId="77777777" w:rsidR="00F540C7" w:rsidRPr="00A3716D" w:rsidRDefault="00F540C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C2C33" w14:textId="77777777" w:rsidR="0028669E" w:rsidRDefault="00F540C7">
      <w:pPr>
        <w:spacing w:before="0" w:after="0" w:line="240" w:lineRule="auto"/>
      </w:pPr>
      <w:r>
        <w:separator/>
      </w:r>
    </w:p>
  </w:footnote>
  <w:footnote w:type="continuationSeparator" w:id="0">
    <w:p w14:paraId="0F5C2C35" w14:textId="77777777" w:rsidR="0028669E" w:rsidRDefault="00F540C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B4E42" w14:textId="77777777" w:rsidR="00F540C7" w:rsidRDefault="00F540C7" w:rsidP="0004322A">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7F49CB6B" wp14:editId="4D0DC0F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10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336B3" w14:textId="77777777" w:rsidR="00F540C7" w:rsidRDefault="00F540C7">
    <w:pPr>
      <w:pStyle w:val="Header"/>
    </w:pPr>
    <w:r w:rsidRPr="003C6EC2">
      <w:rPr>
        <w:rFonts w:eastAsia="Calibri"/>
        <w:noProof/>
      </w:rPr>
      <w:drawing>
        <wp:anchor distT="0" distB="0" distL="114300" distR="114300" simplePos="0" relativeHeight="251673600" behindDoc="1" locked="0" layoutInCell="1" allowOverlap="1" wp14:anchorId="23B03EDD" wp14:editId="3B685F2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018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BFDAF" w14:textId="77777777" w:rsidR="00F540C7" w:rsidRDefault="00F540C7" w:rsidP="0004322A">
    <w:r>
      <w:rPr>
        <w:noProof/>
        <w:color w:val="auto"/>
        <w:sz w:val="20"/>
      </w:rPr>
      <w:drawing>
        <wp:anchor distT="0" distB="0" distL="114300" distR="114300" simplePos="0" relativeHeight="251671552" behindDoc="1" locked="0" layoutInCell="1" allowOverlap="1" wp14:anchorId="2E1838B6" wp14:editId="72445F2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897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0C7E3" w14:textId="77777777" w:rsidR="00F540C7" w:rsidRDefault="00F540C7" w:rsidP="009C6F30">
    <w:pPr>
      <w:tabs>
        <w:tab w:val="left" w:pos="3624"/>
      </w:tabs>
    </w:pPr>
    <w:r>
      <w:rPr>
        <w:noProof/>
        <w:color w:val="auto"/>
        <w:sz w:val="20"/>
      </w:rPr>
      <w:drawing>
        <wp:anchor distT="0" distB="0" distL="114300" distR="114300" simplePos="0" relativeHeight="251672576" behindDoc="1" locked="0" layoutInCell="1" allowOverlap="1" wp14:anchorId="44034E7C" wp14:editId="4DE6B381">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79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C2C32" w14:textId="77777777" w:rsidR="00506F7F" w:rsidRDefault="00F540C7" w:rsidP="009C6F30">
    <w:pPr>
      <w:tabs>
        <w:tab w:val="left" w:pos="3624"/>
      </w:tabs>
    </w:pPr>
    <w:r>
      <w:rPr>
        <w:noProof/>
        <w:color w:val="auto"/>
        <w:sz w:val="20"/>
      </w:rPr>
      <w:drawing>
        <wp:anchor distT="0" distB="0" distL="114300" distR="114300" simplePos="0" relativeHeight="251668480" behindDoc="1" locked="0" layoutInCell="1" allowOverlap="1" wp14:anchorId="0F5C2C49" wp14:editId="0F5C2C4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6356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8128EE"/>
    <w:multiLevelType w:val="hybridMultilevel"/>
    <w:tmpl w:val="B4B2B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1B62C542">
      <w:start w:val="1"/>
      <w:numFmt w:val="lowerRoman"/>
      <w:lvlText w:val="(%1)"/>
      <w:lvlJc w:val="left"/>
      <w:pPr>
        <w:ind w:left="1080" w:hanging="720"/>
      </w:pPr>
      <w:rPr>
        <w:rFonts w:hint="default"/>
        <w:b w:val="0"/>
      </w:rPr>
    </w:lvl>
    <w:lvl w:ilvl="1" w:tplc="31B69BB2" w:tentative="1">
      <w:start w:val="1"/>
      <w:numFmt w:val="lowerLetter"/>
      <w:lvlText w:val="%2."/>
      <w:lvlJc w:val="left"/>
      <w:pPr>
        <w:ind w:left="1440" w:hanging="360"/>
      </w:pPr>
    </w:lvl>
    <w:lvl w:ilvl="2" w:tplc="65F26320" w:tentative="1">
      <w:start w:val="1"/>
      <w:numFmt w:val="lowerRoman"/>
      <w:lvlText w:val="%3."/>
      <w:lvlJc w:val="right"/>
      <w:pPr>
        <w:ind w:left="2160" w:hanging="180"/>
      </w:pPr>
    </w:lvl>
    <w:lvl w:ilvl="3" w:tplc="5316EAD0" w:tentative="1">
      <w:start w:val="1"/>
      <w:numFmt w:val="decimal"/>
      <w:lvlText w:val="%4."/>
      <w:lvlJc w:val="left"/>
      <w:pPr>
        <w:ind w:left="2880" w:hanging="360"/>
      </w:pPr>
    </w:lvl>
    <w:lvl w:ilvl="4" w:tplc="EBA4A3E8" w:tentative="1">
      <w:start w:val="1"/>
      <w:numFmt w:val="lowerLetter"/>
      <w:lvlText w:val="%5."/>
      <w:lvlJc w:val="left"/>
      <w:pPr>
        <w:ind w:left="3600" w:hanging="360"/>
      </w:pPr>
    </w:lvl>
    <w:lvl w:ilvl="5" w:tplc="89088F3A" w:tentative="1">
      <w:start w:val="1"/>
      <w:numFmt w:val="lowerRoman"/>
      <w:lvlText w:val="%6."/>
      <w:lvlJc w:val="right"/>
      <w:pPr>
        <w:ind w:left="4320" w:hanging="180"/>
      </w:pPr>
    </w:lvl>
    <w:lvl w:ilvl="6" w:tplc="1282830A" w:tentative="1">
      <w:start w:val="1"/>
      <w:numFmt w:val="decimal"/>
      <w:lvlText w:val="%7."/>
      <w:lvlJc w:val="left"/>
      <w:pPr>
        <w:ind w:left="5040" w:hanging="360"/>
      </w:pPr>
    </w:lvl>
    <w:lvl w:ilvl="7" w:tplc="8DBE2A70" w:tentative="1">
      <w:start w:val="1"/>
      <w:numFmt w:val="lowerLetter"/>
      <w:lvlText w:val="%8."/>
      <w:lvlJc w:val="left"/>
      <w:pPr>
        <w:ind w:left="5760" w:hanging="360"/>
      </w:pPr>
    </w:lvl>
    <w:lvl w:ilvl="8" w:tplc="8312DF6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F24A9F2E">
      <w:start w:val="1"/>
      <w:numFmt w:val="bullet"/>
      <w:pStyle w:val="ListParagraph"/>
      <w:lvlText w:val=""/>
      <w:lvlJc w:val="left"/>
      <w:pPr>
        <w:ind w:left="1440" w:hanging="360"/>
      </w:pPr>
      <w:rPr>
        <w:rFonts w:ascii="Symbol" w:hAnsi="Symbol" w:hint="default"/>
        <w:color w:val="auto"/>
      </w:rPr>
    </w:lvl>
    <w:lvl w:ilvl="1" w:tplc="493C0D10" w:tentative="1">
      <w:start w:val="1"/>
      <w:numFmt w:val="bullet"/>
      <w:lvlText w:val="o"/>
      <w:lvlJc w:val="left"/>
      <w:pPr>
        <w:ind w:left="2160" w:hanging="360"/>
      </w:pPr>
      <w:rPr>
        <w:rFonts w:ascii="Courier New" w:hAnsi="Courier New" w:cs="Courier New" w:hint="default"/>
      </w:rPr>
    </w:lvl>
    <w:lvl w:ilvl="2" w:tplc="6AB292D0" w:tentative="1">
      <w:start w:val="1"/>
      <w:numFmt w:val="bullet"/>
      <w:lvlText w:val=""/>
      <w:lvlJc w:val="left"/>
      <w:pPr>
        <w:ind w:left="2880" w:hanging="360"/>
      </w:pPr>
      <w:rPr>
        <w:rFonts w:ascii="Wingdings" w:hAnsi="Wingdings" w:hint="default"/>
      </w:rPr>
    </w:lvl>
    <w:lvl w:ilvl="3" w:tplc="CBB6796A" w:tentative="1">
      <w:start w:val="1"/>
      <w:numFmt w:val="bullet"/>
      <w:lvlText w:val=""/>
      <w:lvlJc w:val="left"/>
      <w:pPr>
        <w:ind w:left="3600" w:hanging="360"/>
      </w:pPr>
      <w:rPr>
        <w:rFonts w:ascii="Symbol" w:hAnsi="Symbol" w:hint="default"/>
      </w:rPr>
    </w:lvl>
    <w:lvl w:ilvl="4" w:tplc="736EB652" w:tentative="1">
      <w:start w:val="1"/>
      <w:numFmt w:val="bullet"/>
      <w:lvlText w:val="o"/>
      <w:lvlJc w:val="left"/>
      <w:pPr>
        <w:ind w:left="4320" w:hanging="360"/>
      </w:pPr>
      <w:rPr>
        <w:rFonts w:ascii="Courier New" w:hAnsi="Courier New" w:cs="Courier New" w:hint="default"/>
      </w:rPr>
    </w:lvl>
    <w:lvl w:ilvl="5" w:tplc="17B49B3C" w:tentative="1">
      <w:start w:val="1"/>
      <w:numFmt w:val="bullet"/>
      <w:lvlText w:val=""/>
      <w:lvlJc w:val="left"/>
      <w:pPr>
        <w:ind w:left="5040" w:hanging="360"/>
      </w:pPr>
      <w:rPr>
        <w:rFonts w:ascii="Wingdings" w:hAnsi="Wingdings" w:hint="default"/>
      </w:rPr>
    </w:lvl>
    <w:lvl w:ilvl="6" w:tplc="F748463E" w:tentative="1">
      <w:start w:val="1"/>
      <w:numFmt w:val="bullet"/>
      <w:lvlText w:val=""/>
      <w:lvlJc w:val="left"/>
      <w:pPr>
        <w:ind w:left="5760" w:hanging="360"/>
      </w:pPr>
      <w:rPr>
        <w:rFonts w:ascii="Symbol" w:hAnsi="Symbol" w:hint="default"/>
      </w:rPr>
    </w:lvl>
    <w:lvl w:ilvl="7" w:tplc="41CA4B24" w:tentative="1">
      <w:start w:val="1"/>
      <w:numFmt w:val="bullet"/>
      <w:lvlText w:val="o"/>
      <w:lvlJc w:val="left"/>
      <w:pPr>
        <w:ind w:left="6480" w:hanging="360"/>
      </w:pPr>
      <w:rPr>
        <w:rFonts w:ascii="Courier New" w:hAnsi="Courier New" w:cs="Courier New" w:hint="default"/>
      </w:rPr>
    </w:lvl>
    <w:lvl w:ilvl="8" w:tplc="13F600F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B6CB802">
      <w:start w:val="1"/>
      <w:numFmt w:val="lowerRoman"/>
      <w:lvlText w:val="(%1)"/>
      <w:lvlJc w:val="left"/>
      <w:pPr>
        <w:ind w:left="1004" w:hanging="720"/>
      </w:pPr>
      <w:rPr>
        <w:rFonts w:hint="default"/>
        <w:b w:val="0"/>
      </w:rPr>
    </w:lvl>
    <w:lvl w:ilvl="1" w:tplc="A87655EE" w:tentative="1">
      <w:start w:val="1"/>
      <w:numFmt w:val="lowerLetter"/>
      <w:lvlText w:val="%2."/>
      <w:lvlJc w:val="left"/>
      <w:pPr>
        <w:ind w:left="1364" w:hanging="360"/>
      </w:pPr>
    </w:lvl>
    <w:lvl w:ilvl="2" w:tplc="E11A579A" w:tentative="1">
      <w:start w:val="1"/>
      <w:numFmt w:val="lowerRoman"/>
      <w:lvlText w:val="%3."/>
      <w:lvlJc w:val="right"/>
      <w:pPr>
        <w:ind w:left="2084" w:hanging="180"/>
      </w:pPr>
    </w:lvl>
    <w:lvl w:ilvl="3" w:tplc="34920B70" w:tentative="1">
      <w:start w:val="1"/>
      <w:numFmt w:val="decimal"/>
      <w:lvlText w:val="%4."/>
      <w:lvlJc w:val="left"/>
      <w:pPr>
        <w:ind w:left="2804" w:hanging="360"/>
      </w:pPr>
    </w:lvl>
    <w:lvl w:ilvl="4" w:tplc="04B02938" w:tentative="1">
      <w:start w:val="1"/>
      <w:numFmt w:val="lowerLetter"/>
      <w:lvlText w:val="%5."/>
      <w:lvlJc w:val="left"/>
      <w:pPr>
        <w:ind w:left="3524" w:hanging="360"/>
      </w:pPr>
    </w:lvl>
    <w:lvl w:ilvl="5" w:tplc="9AE0ED22" w:tentative="1">
      <w:start w:val="1"/>
      <w:numFmt w:val="lowerRoman"/>
      <w:lvlText w:val="%6."/>
      <w:lvlJc w:val="right"/>
      <w:pPr>
        <w:ind w:left="4244" w:hanging="180"/>
      </w:pPr>
    </w:lvl>
    <w:lvl w:ilvl="6" w:tplc="F326B07E" w:tentative="1">
      <w:start w:val="1"/>
      <w:numFmt w:val="decimal"/>
      <w:lvlText w:val="%7."/>
      <w:lvlJc w:val="left"/>
      <w:pPr>
        <w:ind w:left="4964" w:hanging="360"/>
      </w:pPr>
    </w:lvl>
    <w:lvl w:ilvl="7" w:tplc="6BAE8AC8" w:tentative="1">
      <w:start w:val="1"/>
      <w:numFmt w:val="lowerLetter"/>
      <w:lvlText w:val="%8."/>
      <w:lvlJc w:val="left"/>
      <w:pPr>
        <w:ind w:left="5684" w:hanging="360"/>
      </w:pPr>
    </w:lvl>
    <w:lvl w:ilvl="8" w:tplc="B510AC6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E3CDF18">
      <w:start w:val="1"/>
      <w:numFmt w:val="lowerRoman"/>
      <w:lvlText w:val="(%1)"/>
      <w:lvlJc w:val="left"/>
      <w:pPr>
        <w:ind w:left="1080" w:hanging="720"/>
      </w:pPr>
      <w:rPr>
        <w:rFonts w:hint="default"/>
      </w:rPr>
    </w:lvl>
    <w:lvl w:ilvl="1" w:tplc="27AE86A6" w:tentative="1">
      <w:start w:val="1"/>
      <w:numFmt w:val="lowerLetter"/>
      <w:lvlText w:val="%2."/>
      <w:lvlJc w:val="left"/>
      <w:pPr>
        <w:ind w:left="1440" w:hanging="360"/>
      </w:pPr>
    </w:lvl>
    <w:lvl w:ilvl="2" w:tplc="120CD5BC" w:tentative="1">
      <w:start w:val="1"/>
      <w:numFmt w:val="lowerRoman"/>
      <w:lvlText w:val="%3."/>
      <w:lvlJc w:val="right"/>
      <w:pPr>
        <w:ind w:left="2160" w:hanging="180"/>
      </w:pPr>
    </w:lvl>
    <w:lvl w:ilvl="3" w:tplc="41D4B776" w:tentative="1">
      <w:start w:val="1"/>
      <w:numFmt w:val="decimal"/>
      <w:lvlText w:val="%4."/>
      <w:lvlJc w:val="left"/>
      <w:pPr>
        <w:ind w:left="2880" w:hanging="360"/>
      </w:pPr>
    </w:lvl>
    <w:lvl w:ilvl="4" w:tplc="D3141C0E" w:tentative="1">
      <w:start w:val="1"/>
      <w:numFmt w:val="lowerLetter"/>
      <w:lvlText w:val="%5."/>
      <w:lvlJc w:val="left"/>
      <w:pPr>
        <w:ind w:left="3600" w:hanging="360"/>
      </w:pPr>
    </w:lvl>
    <w:lvl w:ilvl="5" w:tplc="A0CAD16C" w:tentative="1">
      <w:start w:val="1"/>
      <w:numFmt w:val="lowerRoman"/>
      <w:lvlText w:val="%6."/>
      <w:lvlJc w:val="right"/>
      <w:pPr>
        <w:ind w:left="4320" w:hanging="180"/>
      </w:pPr>
    </w:lvl>
    <w:lvl w:ilvl="6" w:tplc="A392C242" w:tentative="1">
      <w:start w:val="1"/>
      <w:numFmt w:val="decimal"/>
      <w:lvlText w:val="%7."/>
      <w:lvlJc w:val="left"/>
      <w:pPr>
        <w:ind w:left="5040" w:hanging="360"/>
      </w:pPr>
    </w:lvl>
    <w:lvl w:ilvl="7" w:tplc="1884FC42" w:tentative="1">
      <w:start w:val="1"/>
      <w:numFmt w:val="lowerLetter"/>
      <w:lvlText w:val="%8."/>
      <w:lvlJc w:val="left"/>
      <w:pPr>
        <w:ind w:left="5760" w:hanging="360"/>
      </w:pPr>
    </w:lvl>
    <w:lvl w:ilvl="8" w:tplc="0C907428" w:tentative="1">
      <w:start w:val="1"/>
      <w:numFmt w:val="lowerRoman"/>
      <w:lvlText w:val="%9."/>
      <w:lvlJc w:val="right"/>
      <w:pPr>
        <w:ind w:left="6480" w:hanging="180"/>
      </w:pPr>
    </w:lvl>
  </w:abstractNum>
  <w:abstractNum w:abstractNumId="12" w15:restartNumberingAfterBreak="0">
    <w:nsid w:val="1F827394"/>
    <w:multiLevelType w:val="hybridMultilevel"/>
    <w:tmpl w:val="9F702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910886"/>
    <w:multiLevelType w:val="hybridMultilevel"/>
    <w:tmpl w:val="5504F770"/>
    <w:lvl w:ilvl="0" w:tplc="4744507E">
      <w:start w:val="1"/>
      <w:numFmt w:val="lowerRoman"/>
      <w:lvlText w:val="(%1)"/>
      <w:lvlJc w:val="left"/>
      <w:pPr>
        <w:ind w:left="1080" w:hanging="720"/>
      </w:pPr>
      <w:rPr>
        <w:rFonts w:hint="default"/>
      </w:rPr>
    </w:lvl>
    <w:lvl w:ilvl="1" w:tplc="4BD0CE4A" w:tentative="1">
      <w:start w:val="1"/>
      <w:numFmt w:val="lowerLetter"/>
      <w:lvlText w:val="%2."/>
      <w:lvlJc w:val="left"/>
      <w:pPr>
        <w:ind w:left="1440" w:hanging="360"/>
      </w:pPr>
    </w:lvl>
    <w:lvl w:ilvl="2" w:tplc="79E6F6A6" w:tentative="1">
      <w:start w:val="1"/>
      <w:numFmt w:val="lowerRoman"/>
      <w:lvlText w:val="%3."/>
      <w:lvlJc w:val="right"/>
      <w:pPr>
        <w:ind w:left="2160" w:hanging="180"/>
      </w:pPr>
    </w:lvl>
    <w:lvl w:ilvl="3" w:tplc="06343B12" w:tentative="1">
      <w:start w:val="1"/>
      <w:numFmt w:val="decimal"/>
      <w:lvlText w:val="%4."/>
      <w:lvlJc w:val="left"/>
      <w:pPr>
        <w:ind w:left="2880" w:hanging="360"/>
      </w:pPr>
    </w:lvl>
    <w:lvl w:ilvl="4" w:tplc="798EBC6A" w:tentative="1">
      <w:start w:val="1"/>
      <w:numFmt w:val="lowerLetter"/>
      <w:lvlText w:val="%5."/>
      <w:lvlJc w:val="left"/>
      <w:pPr>
        <w:ind w:left="3600" w:hanging="360"/>
      </w:pPr>
    </w:lvl>
    <w:lvl w:ilvl="5" w:tplc="E126158E" w:tentative="1">
      <w:start w:val="1"/>
      <w:numFmt w:val="lowerRoman"/>
      <w:lvlText w:val="%6."/>
      <w:lvlJc w:val="right"/>
      <w:pPr>
        <w:ind w:left="4320" w:hanging="180"/>
      </w:pPr>
    </w:lvl>
    <w:lvl w:ilvl="6" w:tplc="6A6EA014" w:tentative="1">
      <w:start w:val="1"/>
      <w:numFmt w:val="decimal"/>
      <w:lvlText w:val="%7."/>
      <w:lvlJc w:val="left"/>
      <w:pPr>
        <w:ind w:left="5040" w:hanging="360"/>
      </w:pPr>
    </w:lvl>
    <w:lvl w:ilvl="7" w:tplc="AE3A73AC" w:tentative="1">
      <w:start w:val="1"/>
      <w:numFmt w:val="lowerLetter"/>
      <w:lvlText w:val="%8."/>
      <w:lvlJc w:val="left"/>
      <w:pPr>
        <w:ind w:left="5760" w:hanging="360"/>
      </w:pPr>
    </w:lvl>
    <w:lvl w:ilvl="8" w:tplc="3288FCB8"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04A0BF38">
      <w:start w:val="1"/>
      <w:numFmt w:val="lowerRoman"/>
      <w:lvlText w:val="(%1)"/>
      <w:lvlJc w:val="left"/>
      <w:pPr>
        <w:ind w:left="1080" w:hanging="720"/>
      </w:pPr>
      <w:rPr>
        <w:rFonts w:hint="default"/>
        <w:b w:val="0"/>
      </w:rPr>
    </w:lvl>
    <w:lvl w:ilvl="1" w:tplc="5DBECF04" w:tentative="1">
      <w:start w:val="1"/>
      <w:numFmt w:val="lowerLetter"/>
      <w:lvlText w:val="%2."/>
      <w:lvlJc w:val="left"/>
      <w:pPr>
        <w:ind w:left="1440" w:hanging="360"/>
      </w:pPr>
    </w:lvl>
    <w:lvl w:ilvl="2" w:tplc="892AB4D0" w:tentative="1">
      <w:start w:val="1"/>
      <w:numFmt w:val="lowerRoman"/>
      <w:lvlText w:val="%3."/>
      <w:lvlJc w:val="right"/>
      <w:pPr>
        <w:ind w:left="2160" w:hanging="180"/>
      </w:pPr>
    </w:lvl>
    <w:lvl w:ilvl="3" w:tplc="FD926858" w:tentative="1">
      <w:start w:val="1"/>
      <w:numFmt w:val="decimal"/>
      <w:lvlText w:val="%4."/>
      <w:lvlJc w:val="left"/>
      <w:pPr>
        <w:ind w:left="2880" w:hanging="360"/>
      </w:pPr>
    </w:lvl>
    <w:lvl w:ilvl="4" w:tplc="9182A550" w:tentative="1">
      <w:start w:val="1"/>
      <w:numFmt w:val="lowerLetter"/>
      <w:lvlText w:val="%5."/>
      <w:lvlJc w:val="left"/>
      <w:pPr>
        <w:ind w:left="3600" w:hanging="360"/>
      </w:pPr>
    </w:lvl>
    <w:lvl w:ilvl="5" w:tplc="9AE2603E" w:tentative="1">
      <w:start w:val="1"/>
      <w:numFmt w:val="lowerRoman"/>
      <w:lvlText w:val="%6."/>
      <w:lvlJc w:val="right"/>
      <w:pPr>
        <w:ind w:left="4320" w:hanging="180"/>
      </w:pPr>
    </w:lvl>
    <w:lvl w:ilvl="6" w:tplc="B5F86BC2" w:tentative="1">
      <w:start w:val="1"/>
      <w:numFmt w:val="decimal"/>
      <w:lvlText w:val="%7."/>
      <w:lvlJc w:val="left"/>
      <w:pPr>
        <w:ind w:left="5040" w:hanging="360"/>
      </w:pPr>
    </w:lvl>
    <w:lvl w:ilvl="7" w:tplc="5A6AFFEA" w:tentative="1">
      <w:start w:val="1"/>
      <w:numFmt w:val="lowerLetter"/>
      <w:lvlText w:val="%8."/>
      <w:lvlJc w:val="left"/>
      <w:pPr>
        <w:ind w:left="5760" w:hanging="360"/>
      </w:pPr>
    </w:lvl>
    <w:lvl w:ilvl="8" w:tplc="65C83EDC"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818093B2">
      <w:start w:val="1"/>
      <w:numFmt w:val="lowerLetter"/>
      <w:lvlText w:val="(%1)"/>
      <w:lvlJc w:val="left"/>
      <w:pPr>
        <w:ind w:left="360" w:hanging="360"/>
      </w:pPr>
      <w:rPr>
        <w:rFonts w:hint="default"/>
      </w:rPr>
    </w:lvl>
    <w:lvl w:ilvl="1" w:tplc="979E2FDC" w:tentative="1">
      <w:start w:val="1"/>
      <w:numFmt w:val="lowerLetter"/>
      <w:lvlText w:val="%2."/>
      <w:lvlJc w:val="left"/>
      <w:pPr>
        <w:ind w:left="1080" w:hanging="360"/>
      </w:pPr>
    </w:lvl>
    <w:lvl w:ilvl="2" w:tplc="8F3A1684" w:tentative="1">
      <w:start w:val="1"/>
      <w:numFmt w:val="lowerRoman"/>
      <w:lvlText w:val="%3."/>
      <w:lvlJc w:val="right"/>
      <w:pPr>
        <w:ind w:left="1800" w:hanging="180"/>
      </w:pPr>
    </w:lvl>
    <w:lvl w:ilvl="3" w:tplc="127A26C6" w:tentative="1">
      <w:start w:val="1"/>
      <w:numFmt w:val="decimal"/>
      <w:lvlText w:val="%4."/>
      <w:lvlJc w:val="left"/>
      <w:pPr>
        <w:ind w:left="2520" w:hanging="360"/>
      </w:pPr>
    </w:lvl>
    <w:lvl w:ilvl="4" w:tplc="C8D897B0" w:tentative="1">
      <w:start w:val="1"/>
      <w:numFmt w:val="lowerLetter"/>
      <w:lvlText w:val="%5."/>
      <w:lvlJc w:val="left"/>
      <w:pPr>
        <w:ind w:left="3240" w:hanging="360"/>
      </w:pPr>
    </w:lvl>
    <w:lvl w:ilvl="5" w:tplc="E818658C" w:tentative="1">
      <w:start w:val="1"/>
      <w:numFmt w:val="lowerRoman"/>
      <w:lvlText w:val="%6."/>
      <w:lvlJc w:val="right"/>
      <w:pPr>
        <w:ind w:left="3960" w:hanging="180"/>
      </w:pPr>
    </w:lvl>
    <w:lvl w:ilvl="6" w:tplc="26F26178" w:tentative="1">
      <w:start w:val="1"/>
      <w:numFmt w:val="decimal"/>
      <w:lvlText w:val="%7."/>
      <w:lvlJc w:val="left"/>
      <w:pPr>
        <w:ind w:left="4680" w:hanging="360"/>
      </w:pPr>
    </w:lvl>
    <w:lvl w:ilvl="7" w:tplc="952C41E6" w:tentative="1">
      <w:start w:val="1"/>
      <w:numFmt w:val="lowerLetter"/>
      <w:lvlText w:val="%8."/>
      <w:lvlJc w:val="left"/>
      <w:pPr>
        <w:ind w:left="5400" w:hanging="360"/>
      </w:pPr>
    </w:lvl>
    <w:lvl w:ilvl="8" w:tplc="954CF4E2"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BD2CDA14">
      <w:start w:val="1"/>
      <w:numFmt w:val="decimal"/>
      <w:lvlText w:val="%1."/>
      <w:lvlJc w:val="left"/>
      <w:pPr>
        <w:ind w:left="360" w:hanging="360"/>
      </w:pPr>
      <w:rPr>
        <w:rFonts w:hint="default"/>
      </w:rPr>
    </w:lvl>
    <w:lvl w:ilvl="1" w:tplc="CB0E9704" w:tentative="1">
      <w:start w:val="1"/>
      <w:numFmt w:val="lowerLetter"/>
      <w:lvlText w:val="%2."/>
      <w:lvlJc w:val="left"/>
      <w:pPr>
        <w:ind w:left="1080" w:hanging="360"/>
      </w:pPr>
    </w:lvl>
    <w:lvl w:ilvl="2" w:tplc="F43434C2" w:tentative="1">
      <w:start w:val="1"/>
      <w:numFmt w:val="lowerRoman"/>
      <w:lvlText w:val="%3."/>
      <w:lvlJc w:val="right"/>
      <w:pPr>
        <w:ind w:left="1800" w:hanging="180"/>
      </w:pPr>
    </w:lvl>
    <w:lvl w:ilvl="3" w:tplc="7CD0AA72" w:tentative="1">
      <w:start w:val="1"/>
      <w:numFmt w:val="decimal"/>
      <w:lvlText w:val="%4."/>
      <w:lvlJc w:val="left"/>
      <w:pPr>
        <w:ind w:left="2520" w:hanging="360"/>
      </w:pPr>
    </w:lvl>
    <w:lvl w:ilvl="4" w:tplc="8266E854" w:tentative="1">
      <w:start w:val="1"/>
      <w:numFmt w:val="lowerLetter"/>
      <w:lvlText w:val="%5."/>
      <w:lvlJc w:val="left"/>
      <w:pPr>
        <w:ind w:left="3240" w:hanging="360"/>
      </w:pPr>
    </w:lvl>
    <w:lvl w:ilvl="5" w:tplc="5C663CBA" w:tentative="1">
      <w:start w:val="1"/>
      <w:numFmt w:val="lowerRoman"/>
      <w:lvlText w:val="%6."/>
      <w:lvlJc w:val="right"/>
      <w:pPr>
        <w:ind w:left="3960" w:hanging="180"/>
      </w:pPr>
    </w:lvl>
    <w:lvl w:ilvl="6" w:tplc="34C4BC8A" w:tentative="1">
      <w:start w:val="1"/>
      <w:numFmt w:val="decimal"/>
      <w:lvlText w:val="%7."/>
      <w:lvlJc w:val="left"/>
      <w:pPr>
        <w:ind w:left="4680" w:hanging="360"/>
      </w:pPr>
    </w:lvl>
    <w:lvl w:ilvl="7" w:tplc="9320D9B0" w:tentative="1">
      <w:start w:val="1"/>
      <w:numFmt w:val="lowerLetter"/>
      <w:lvlText w:val="%8."/>
      <w:lvlJc w:val="left"/>
      <w:pPr>
        <w:ind w:left="5400" w:hanging="360"/>
      </w:pPr>
    </w:lvl>
    <w:lvl w:ilvl="8" w:tplc="BB6E0B8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ADFAC158">
      <w:start w:val="1"/>
      <w:numFmt w:val="decimal"/>
      <w:lvlText w:val="%1."/>
      <w:lvlJc w:val="left"/>
      <w:pPr>
        <w:ind w:left="360" w:hanging="360"/>
      </w:pPr>
      <w:rPr>
        <w:rFonts w:hint="default"/>
      </w:rPr>
    </w:lvl>
    <w:lvl w:ilvl="1" w:tplc="07C0BD24" w:tentative="1">
      <w:start w:val="1"/>
      <w:numFmt w:val="lowerLetter"/>
      <w:lvlText w:val="%2."/>
      <w:lvlJc w:val="left"/>
      <w:pPr>
        <w:ind w:left="1080" w:hanging="360"/>
      </w:pPr>
    </w:lvl>
    <w:lvl w:ilvl="2" w:tplc="B28056B0" w:tentative="1">
      <w:start w:val="1"/>
      <w:numFmt w:val="lowerRoman"/>
      <w:lvlText w:val="%3."/>
      <w:lvlJc w:val="right"/>
      <w:pPr>
        <w:ind w:left="1800" w:hanging="180"/>
      </w:pPr>
    </w:lvl>
    <w:lvl w:ilvl="3" w:tplc="01069386" w:tentative="1">
      <w:start w:val="1"/>
      <w:numFmt w:val="decimal"/>
      <w:lvlText w:val="%4."/>
      <w:lvlJc w:val="left"/>
      <w:pPr>
        <w:ind w:left="2520" w:hanging="360"/>
      </w:pPr>
    </w:lvl>
    <w:lvl w:ilvl="4" w:tplc="F43EAAD4" w:tentative="1">
      <w:start w:val="1"/>
      <w:numFmt w:val="lowerLetter"/>
      <w:lvlText w:val="%5."/>
      <w:lvlJc w:val="left"/>
      <w:pPr>
        <w:ind w:left="3240" w:hanging="360"/>
      </w:pPr>
    </w:lvl>
    <w:lvl w:ilvl="5" w:tplc="2E00298C" w:tentative="1">
      <w:start w:val="1"/>
      <w:numFmt w:val="lowerRoman"/>
      <w:lvlText w:val="%6."/>
      <w:lvlJc w:val="right"/>
      <w:pPr>
        <w:ind w:left="3960" w:hanging="180"/>
      </w:pPr>
    </w:lvl>
    <w:lvl w:ilvl="6" w:tplc="2ED63578" w:tentative="1">
      <w:start w:val="1"/>
      <w:numFmt w:val="decimal"/>
      <w:lvlText w:val="%7."/>
      <w:lvlJc w:val="left"/>
      <w:pPr>
        <w:ind w:left="4680" w:hanging="360"/>
      </w:pPr>
    </w:lvl>
    <w:lvl w:ilvl="7" w:tplc="9C4EDC78" w:tentative="1">
      <w:start w:val="1"/>
      <w:numFmt w:val="lowerLetter"/>
      <w:lvlText w:val="%8."/>
      <w:lvlJc w:val="left"/>
      <w:pPr>
        <w:ind w:left="5400" w:hanging="360"/>
      </w:pPr>
    </w:lvl>
    <w:lvl w:ilvl="8" w:tplc="A780647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EDE64284">
      <w:start w:val="1"/>
      <w:numFmt w:val="lowerRoman"/>
      <w:lvlText w:val="(%1)"/>
      <w:lvlJc w:val="left"/>
      <w:pPr>
        <w:ind w:left="1080" w:hanging="720"/>
      </w:pPr>
      <w:rPr>
        <w:rFonts w:hint="default"/>
        <w:b w:val="0"/>
      </w:rPr>
    </w:lvl>
    <w:lvl w:ilvl="1" w:tplc="3E00D7B6" w:tentative="1">
      <w:start w:val="1"/>
      <w:numFmt w:val="lowerLetter"/>
      <w:lvlText w:val="%2."/>
      <w:lvlJc w:val="left"/>
      <w:pPr>
        <w:ind w:left="1440" w:hanging="360"/>
      </w:pPr>
    </w:lvl>
    <w:lvl w:ilvl="2" w:tplc="DCB008E0" w:tentative="1">
      <w:start w:val="1"/>
      <w:numFmt w:val="lowerRoman"/>
      <w:lvlText w:val="%3."/>
      <w:lvlJc w:val="right"/>
      <w:pPr>
        <w:ind w:left="2160" w:hanging="180"/>
      </w:pPr>
    </w:lvl>
    <w:lvl w:ilvl="3" w:tplc="D818CCC6" w:tentative="1">
      <w:start w:val="1"/>
      <w:numFmt w:val="decimal"/>
      <w:lvlText w:val="%4."/>
      <w:lvlJc w:val="left"/>
      <w:pPr>
        <w:ind w:left="2880" w:hanging="360"/>
      </w:pPr>
    </w:lvl>
    <w:lvl w:ilvl="4" w:tplc="7C98542A" w:tentative="1">
      <w:start w:val="1"/>
      <w:numFmt w:val="lowerLetter"/>
      <w:lvlText w:val="%5."/>
      <w:lvlJc w:val="left"/>
      <w:pPr>
        <w:ind w:left="3600" w:hanging="360"/>
      </w:pPr>
    </w:lvl>
    <w:lvl w:ilvl="5" w:tplc="431E4A66" w:tentative="1">
      <w:start w:val="1"/>
      <w:numFmt w:val="lowerRoman"/>
      <w:lvlText w:val="%6."/>
      <w:lvlJc w:val="right"/>
      <w:pPr>
        <w:ind w:left="4320" w:hanging="180"/>
      </w:pPr>
    </w:lvl>
    <w:lvl w:ilvl="6" w:tplc="AB460F98" w:tentative="1">
      <w:start w:val="1"/>
      <w:numFmt w:val="decimal"/>
      <w:lvlText w:val="%7."/>
      <w:lvlJc w:val="left"/>
      <w:pPr>
        <w:ind w:left="5040" w:hanging="360"/>
      </w:pPr>
    </w:lvl>
    <w:lvl w:ilvl="7" w:tplc="8152A7C2" w:tentative="1">
      <w:start w:val="1"/>
      <w:numFmt w:val="lowerLetter"/>
      <w:lvlText w:val="%8."/>
      <w:lvlJc w:val="left"/>
      <w:pPr>
        <w:ind w:left="5760" w:hanging="360"/>
      </w:pPr>
    </w:lvl>
    <w:lvl w:ilvl="8" w:tplc="5FF6D6A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EEF49FD0">
      <w:start w:val="1"/>
      <w:numFmt w:val="lowerRoman"/>
      <w:lvlText w:val="(%1)"/>
      <w:lvlJc w:val="left"/>
      <w:pPr>
        <w:ind w:left="1080" w:hanging="720"/>
      </w:pPr>
      <w:rPr>
        <w:rFonts w:hint="default"/>
      </w:rPr>
    </w:lvl>
    <w:lvl w:ilvl="1" w:tplc="5596BB12" w:tentative="1">
      <w:start w:val="1"/>
      <w:numFmt w:val="lowerLetter"/>
      <w:lvlText w:val="%2."/>
      <w:lvlJc w:val="left"/>
      <w:pPr>
        <w:ind w:left="1440" w:hanging="360"/>
      </w:pPr>
    </w:lvl>
    <w:lvl w:ilvl="2" w:tplc="242298C2" w:tentative="1">
      <w:start w:val="1"/>
      <w:numFmt w:val="lowerRoman"/>
      <w:lvlText w:val="%3."/>
      <w:lvlJc w:val="right"/>
      <w:pPr>
        <w:ind w:left="2160" w:hanging="180"/>
      </w:pPr>
    </w:lvl>
    <w:lvl w:ilvl="3" w:tplc="ED964792" w:tentative="1">
      <w:start w:val="1"/>
      <w:numFmt w:val="decimal"/>
      <w:lvlText w:val="%4."/>
      <w:lvlJc w:val="left"/>
      <w:pPr>
        <w:ind w:left="2880" w:hanging="360"/>
      </w:pPr>
    </w:lvl>
    <w:lvl w:ilvl="4" w:tplc="2C44A792" w:tentative="1">
      <w:start w:val="1"/>
      <w:numFmt w:val="lowerLetter"/>
      <w:lvlText w:val="%5."/>
      <w:lvlJc w:val="left"/>
      <w:pPr>
        <w:ind w:left="3600" w:hanging="360"/>
      </w:pPr>
    </w:lvl>
    <w:lvl w:ilvl="5" w:tplc="2796EE62" w:tentative="1">
      <w:start w:val="1"/>
      <w:numFmt w:val="lowerRoman"/>
      <w:lvlText w:val="%6."/>
      <w:lvlJc w:val="right"/>
      <w:pPr>
        <w:ind w:left="4320" w:hanging="180"/>
      </w:pPr>
    </w:lvl>
    <w:lvl w:ilvl="6" w:tplc="C6680BE0" w:tentative="1">
      <w:start w:val="1"/>
      <w:numFmt w:val="decimal"/>
      <w:lvlText w:val="%7."/>
      <w:lvlJc w:val="left"/>
      <w:pPr>
        <w:ind w:left="5040" w:hanging="360"/>
      </w:pPr>
    </w:lvl>
    <w:lvl w:ilvl="7" w:tplc="D00871FC" w:tentative="1">
      <w:start w:val="1"/>
      <w:numFmt w:val="lowerLetter"/>
      <w:lvlText w:val="%8."/>
      <w:lvlJc w:val="left"/>
      <w:pPr>
        <w:ind w:left="5760" w:hanging="360"/>
      </w:pPr>
    </w:lvl>
    <w:lvl w:ilvl="8" w:tplc="5CE2C420" w:tentative="1">
      <w:start w:val="1"/>
      <w:numFmt w:val="lowerRoman"/>
      <w:lvlText w:val="%9."/>
      <w:lvlJc w:val="right"/>
      <w:pPr>
        <w:ind w:left="6480" w:hanging="180"/>
      </w:pPr>
    </w:lvl>
  </w:abstractNum>
  <w:abstractNum w:abstractNumId="20" w15:restartNumberingAfterBreak="0">
    <w:nsid w:val="38513BBC"/>
    <w:multiLevelType w:val="hybridMultilevel"/>
    <w:tmpl w:val="CB1C6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9A2A32"/>
    <w:multiLevelType w:val="hybridMultilevel"/>
    <w:tmpl w:val="2E142D86"/>
    <w:lvl w:ilvl="0" w:tplc="54F24272">
      <w:start w:val="1"/>
      <w:numFmt w:val="bullet"/>
      <w:pStyle w:val="ListBullet"/>
      <w:lvlText w:val=""/>
      <w:lvlJc w:val="left"/>
      <w:pPr>
        <w:ind w:left="720" w:hanging="360"/>
      </w:pPr>
      <w:rPr>
        <w:rFonts w:ascii="Symbol" w:hAnsi="Symbol" w:hint="default"/>
      </w:rPr>
    </w:lvl>
    <w:lvl w:ilvl="1" w:tplc="89282786">
      <w:start w:val="1"/>
      <w:numFmt w:val="bullet"/>
      <w:pStyle w:val="ListBullet2"/>
      <w:lvlText w:val="o"/>
      <w:lvlJc w:val="left"/>
      <w:pPr>
        <w:ind w:left="1440" w:hanging="360"/>
      </w:pPr>
      <w:rPr>
        <w:rFonts w:ascii="Courier New" w:hAnsi="Courier New" w:cs="Courier New" w:hint="default"/>
      </w:rPr>
    </w:lvl>
    <w:lvl w:ilvl="2" w:tplc="C568D5B6">
      <w:start w:val="1"/>
      <w:numFmt w:val="bullet"/>
      <w:lvlText w:val=""/>
      <w:lvlJc w:val="left"/>
      <w:pPr>
        <w:ind w:left="2160" w:hanging="360"/>
      </w:pPr>
      <w:rPr>
        <w:rFonts w:ascii="Wingdings" w:hAnsi="Wingdings" w:hint="default"/>
      </w:rPr>
    </w:lvl>
    <w:lvl w:ilvl="3" w:tplc="4A923EE6">
      <w:start w:val="1"/>
      <w:numFmt w:val="bullet"/>
      <w:lvlText w:val=""/>
      <w:lvlJc w:val="left"/>
      <w:pPr>
        <w:ind w:left="2880" w:hanging="360"/>
      </w:pPr>
      <w:rPr>
        <w:rFonts w:ascii="Symbol" w:hAnsi="Symbol" w:hint="default"/>
      </w:rPr>
    </w:lvl>
    <w:lvl w:ilvl="4" w:tplc="79AC47F0">
      <w:start w:val="1"/>
      <w:numFmt w:val="bullet"/>
      <w:lvlText w:val="o"/>
      <w:lvlJc w:val="left"/>
      <w:pPr>
        <w:ind w:left="3600" w:hanging="360"/>
      </w:pPr>
      <w:rPr>
        <w:rFonts w:ascii="Courier New" w:hAnsi="Courier New" w:cs="Courier New" w:hint="default"/>
      </w:rPr>
    </w:lvl>
    <w:lvl w:ilvl="5" w:tplc="18EA3504">
      <w:start w:val="1"/>
      <w:numFmt w:val="bullet"/>
      <w:pStyle w:val="ListBullet3"/>
      <w:lvlText w:val=""/>
      <w:lvlJc w:val="left"/>
      <w:pPr>
        <w:ind w:left="4320" w:hanging="360"/>
      </w:pPr>
      <w:rPr>
        <w:rFonts w:ascii="Wingdings" w:hAnsi="Wingdings" w:hint="default"/>
      </w:rPr>
    </w:lvl>
    <w:lvl w:ilvl="6" w:tplc="385A25A4">
      <w:start w:val="1"/>
      <w:numFmt w:val="bullet"/>
      <w:lvlText w:val=""/>
      <w:lvlJc w:val="left"/>
      <w:pPr>
        <w:ind w:left="5040" w:hanging="360"/>
      </w:pPr>
      <w:rPr>
        <w:rFonts w:ascii="Symbol" w:hAnsi="Symbol" w:hint="default"/>
      </w:rPr>
    </w:lvl>
    <w:lvl w:ilvl="7" w:tplc="5A6C6DEE">
      <w:start w:val="1"/>
      <w:numFmt w:val="bullet"/>
      <w:lvlText w:val="o"/>
      <w:lvlJc w:val="left"/>
      <w:pPr>
        <w:ind w:left="5760" w:hanging="360"/>
      </w:pPr>
      <w:rPr>
        <w:rFonts w:ascii="Courier New" w:hAnsi="Courier New" w:cs="Courier New" w:hint="default"/>
      </w:rPr>
    </w:lvl>
    <w:lvl w:ilvl="8" w:tplc="DEE44C12">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1EE45A80">
      <w:start w:val="1"/>
      <w:numFmt w:val="bullet"/>
      <w:lvlText w:val=""/>
      <w:lvlJc w:val="left"/>
      <w:pPr>
        <w:ind w:left="360" w:hanging="360"/>
      </w:pPr>
      <w:rPr>
        <w:rFonts w:ascii="Symbol" w:hAnsi="Symbol" w:hint="default"/>
      </w:rPr>
    </w:lvl>
    <w:lvl w:ilvl="1" w:tplc="5A5E2BE8" w:tentative="1">
      <w:start w:val="1"/>
      <w:numFmt w:val="bullet"/>
      <w:lvlText w:val="o"/>
      <w:lvlJc w:val="left"/>
      <w:pPr>
        <w:ind w:left="1080" w:hanging="360"/>
      </w:pPr>
      <w:rPr>
        <w:rFonts w:ascii="Courier New" w:hAnsi="Courier New" w:cs="Courier New" w:hint="default"/>
      </w:rPr>
    </w:lvl>
    <w:lvl w:ilvl="2" w:tplc="C3C25E54" w:tentative="1">
      <w:start w:val="1"/>
      <w:numFmt w:val="bullet"/>
      <w:lvlText w:val=""/>
      <w:lvlJc w:val="left"/>
      <w:pPr>
        <w:ind w:left="1800" w:hanging="360"/>
      </w:pPr>
      <w:rPr>
        <w:rFonts w:ascii="Wingdings" w:hAnsi="Wingdings" w:hint="default"/>
      </w:rPr>
    </w:lvl>
    <w:lvl w:ilvl="3" w:tplc="1182F910" w:tentative="1">
      <w:start w:val="1"/>
      <w:numFmt w:val="bullet"/>
      <w:lvlText w:val=""/>
      <w:lvlJc w:val="left"/>
      <w:pPr>
        <w:ind w:left="2520" w:hanging="360"/>
      </w:pPr>
      <w:rPr>
        <w:rFonts w:ascii="Symbol" w:hAnsi="Symbol" w:hint="default"/>
      </w:rPr>
    </w:lvl>
    <w:lvl w:ilvl="4" w:tplc="6B200EF2" w:tentative="1">
      <w:start w:val="1"/>
      <w:numFmt w:val="bullet"/>
      <w:lvlText w:val="o"/>
      <w:lvlJc w:val="left"/>
      <w:pPr>
        <w:ind w:left="3240" w:hanging="360"/>
      </w:pPr>
      <w:rPr>
        <w:rFonts w:ascii="Courier New" w:hAnsi="Courier New" w:cs="Courier New" w:hint="default"/>
      </w:rPr>
    </w:lvl>
    <w:lvl w:ilvl="5" w:tplc="DD267522" w:tentative="1">
      <w:start w:val="1"/>
      <w:numFmt w:val="bullet"/>
      <w:lvlText w:val=""/>
      <w:lvlJc w:val="left"/>
      <w:pPr>
        <w:ind w:left="3960" w:hanging="360"/>
      </w:pPr>
      <w:rPr>
        <w:rFonts w:ascii="Wingdings" w:hAnsi="Wingdings" w:hint="default"/>
      </w:rPr>
    </w:lvl>
    <w:lvl w:ilvl="6" w:tplc="186E986C" w:tentative="1">
      <w:start w:val="1"/>
      <w:numFmt w:val="bullet"/>
      <w:lvlText w:val=""/>
      <w:lvlJc w:val="left"/>
      <w:pPr>
        <w:ind w:left="4680" w:hanging="360"/>
      </w:pPr>
      <w:rPr>
        <w:rFonts w:ascii="Symbol" w:hAnsi="Symbol" w:hint="default"/>
      </w:rPr>
    </w:lvl>
    <w:lvl w:ilvl="7" w:tplc="00E46FAA" w:tentative="1">
      <w:start w:val="1"/>
      <w:numFmt w:val="bullet"/>
      <w:lvlText w:val="o"/>
      <w:lvlJc w:val="left"/>
      <w:pPr>
        <w:ind w:left="5400" w:hanging="360"/>
      </w:pPr>
      <w:rPr>
        <w:rFonts w:ascii="Courier New" w:hAnsi="Courier New" w:cs="Courier New" w:hint="default"/>
      </w:rPr>
    </w:lvl>
    <w:lvl w:ilvl="8" w:tplc="49ACA1A0"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375C4A2C">
      <w:start w:val="1"/>
      <w:numFmt w:val="lowerRoman"/>
      <w:lvlText w:val="(%1)"/>
      <w:lvlJc w:val="left"/>
      <w:pPr>
        <w:ind w:left="1080" w:hanging="720"/>
      </w:pPr>
      <w:rPr>
        <w:rFonts w:hint="default"/>
      </w:rPr>
    </w:lvl>
    <w:lvl w:ilvl="1" w:tplc="FA5E77F8" w:tentative="1">
      <w:start w:val="1"/>
      <w:numFmt w:val="lowerLetter"/>
      <w:lvlText w:val="%2."/>
      <w:lvlJc w:val="left"/>
      <w:pPr>
        <w:ind w:left="1440" w:hanging="360"/>
      </w:pPr>
    </w:lvl>
    <w:lvl w:ilvl="2" w:tplc="F7B6B9C2" w:tentative="1">
      <w:start w:val="1"/>
      <w:numFmt w:val="lowerRoman"/>
      <w:lvlText w:val="%3."/>
      <w:lvlJc w:val="right"/>
      <w:pPr>
        <w:ind w:left="2160" w:hanging="180"/>
      </w:pPr>
    </w:lvl>
    <w:lvl w:ilvl="3" w:tplc="EC062C86" w:tentative="1">
      <w:start w:val="1"/>
      <w:numFmt w:val="decimal"/>
      <w:lvlText w:val="%4."/>
      <w:lvlJc w:val="left"/>
      <w:pPr>
        <w:ind w:left="2880" w:hanging="360"/>
      </w:pPr>
    </w:lvl>
    <w:lvl w:ilvl="4" w:tplc="85D6DED6" w:tentative="1">
      <w:start w:val="1"/>
      <w:numFmt w:val="lowerLetter"/>
      <w:lvlText w:val="%5."/>
      <w:lvlJc w:val="left"/>
      <w:pPr>
        <w:ind w:left="3600" w:hanging="360"/>
      </w:pPr>
    </w:lvl>
    <w:lvl w:ilvl="5" w:tplc="633AFD40" w:tentative="1">
      <w:start w:val="1"/>
      <w:numFmt w:val="lowerRoman"/>
      <w:lvlText w:val="%6."/>
      <w:lvlJc w:val="right"/>
      <w:pPr>
        <w:ind w:left="4320" w:hanging="180"/>
      </w:pPr>
    </w:lvl>
    <w:lvl w:ilvl="6" w:tplc="2FE4C9CC" w:tentative="1">
      <w:start w:val="1"/>
      <w:numFmt w:val="decimal"/>
      <w:lvlText w:val="%7."/>
      <w:lvlJc w:val="left"/>
      <w:pPr>
        <w:ind w:left="5040" w:hanging="360"/>
      </w:pPr>
    </w:lvl>
    <w:lvl w:ilvl="7" w:tplc="2CE013BE" w:tentative="1">
      <w:start w:val="1"/>
      <w:numFmt w:val="lowerLetter"/>
      <w:lvlText w:val="%8."/>
      <w:lvlJc w:val="left"/>
      <w:pPr>
        <w:ind w:left="5760" w:hanging="360"/>
      </w:pPr>
    </w:lvl>
    <w:lvl w:ilvl="8" w:tplc="C5A6142E"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E64A5102">
      <w:start w:val="1"/>
      <w:numFmt w:val="lowerRoman"/>
      <w:lvlText w:val="(%1)"/>
      <w:lvlJc w:val="left"/>
      <w:pPr>
        <w:ind w:left="1080" w:hanging="720"/>
      </w:pPr>
      <w:rPr>
        <w:rFonts w:hint="default"/>
      </w:rPr>
    </w:lvl>
    <w:lvl w:ilvl="1" w:tplc="34365548" w:tentative="1">
      <w:start w:val="1"/>
      <w:numFmt w:val="lowerLetter"/>
      <w:lvlText w:val="%2."/>
      <w:lvlJc w:val="left"/>
      <w:pPr>
        <w:ind w:left="1440" w:hanging="360"/>
      </w:pPr>
    </w:lvl>
    <w:lvl w:ilvl="2" w:tplc="151AFD0C" w:tentative="1">
      <w:start w:val="1"/>
      <w:numFmt w:val="lowerRoman"/>
      <w:lvlText w:val="%3."/>
      <w:lvlJc w:val="right"/>
      <w:pPr>
        <w:ind w:left="2160" w:hanging="180"/>
      </w:pPr>
    </w:lvl>
    <w:lvl w:ilvl="3" w:tplc="6E68F97A" w:tentative="1">
      <w:start w:val="1"/>
      <w:numFmt w:val="decimal"/>
      <w:lvlText w:val="%4."/>
      <w:lvlJc w:val="left"/>
      <w:pPr>
        <w:ind w:left="2880" w:hanging="360"/>
      </w:pPr>
    </w:lvl>
    <w:lvl w:ilvl="4" w:tplc="89666ED6" w:tentative="1">
      <w:start w:val="1"/>
      <w:numFmt w:val="lowerLetter"/>
      <w:lvlText w:val="%5."/>
      <w:lvlJc w:val="left"/>
      <w:pPr>
        <w:ind w:left="3600" w:hanging="360"/>
      </w:pPr>
    </w:lvl>
    <w:lvl w:ilvl="5" w:tplc="7EC25E5E" w:tentative="1">
      <w:start w:val="1"/>
      <w:numFmt w:val="lowerRoman"/>
      <w:lvlText w:val="%6."/>
      <w:lvlJc w:val="right"/>
      <w:pPr>
        <w:ind w:left="4320" w:hanging="180"/>
      </w:pPr>
    </w:lvl>
    <w:lvl w:ilvl="6" w:tplc="CA4E852E" w:tentative="1">
      <w:start w:val="1"/>
      <w:numFmt w:val="decimal"/>
      <w:lvlText w:val="%7."/>
      <w:lvlJc w:val="left"/>
      <w:pPr>
        <w:ind w:left="5040" w:hanging="360"/>
      </w:pPr>
    </w:lvl>
    <w:lvl w:ilvl="7" w:tplc="B3041B68" w:tentative="1">
      <w:start w:val="1"/>
      <w:numFmt w:val="lowerLetter"/>
      <w:lvlText w:val="%8."/>
      <w:lvlJc w:val="left"/>
      <w:pPr>
        <w:ind w:left="5760" w:hanging="360"/>
      </w:pPr>
    </w:lvl>
    <w:lvl w:ilvl="8" w:tplc="BEC2907A"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159ED08C">
      <w:start w:val="1"/>
      <w:numFmt w:val="lowerRoman"/>
      <w:lvlText w:val="(%1)"/>
      <w:lvlJc w:val="left"/>
      <w:pPr>
        <w:ind w:left="1080" w:hanging="720"/>
      </w:pPr>
      <w:rPr>
        <w:rFonts w:hint="default"/>
        <w:b w:val="0"/>
      </w:rPr>
    </w:lvl>
    <w:lvl w:ilvl="1" w:tplc="040817BE" w:tentative="1">
      <w:start w:val="1"/>
      <w:numFmt w:val="lowerLetter"/>
      <w:lvlText w:val="%2."/>
      <w:lvlJc w:val="left"/>
      <w:pPr>
        <w:ind w:left="1440" w:hanging="360"/>
      </w:pPr>
    </w:lvl>
    <w:lvl w:ilvl="2" w:tplc="436A9922" w:tentative="1">
      <w:start w:val="1"/>
      <w:numFmt w:val="lowerRoman"/>
      <w:lvlText w:val="%3."/>
      <w:lvlJc w:val="right"/>
      <w:pPr>
        <w:ind w:left="2160" w:hanging="180"/>
      </w:pPr>
    </w:lvl>
    <w:lvl w:ilvl="3" w:tplc="2A068E4A" w:tentative="1">
      <w:start w:val="1"/>
      <w:numFmt w:val="decimal"/>
      <w:lvlText w:val="%4."/>
      <w:lvlJc w:val="left"/>
      <w:pPr>
        <w:ind w:left="2880" w:hanging="360"/>
      </w:pPr>
    </w:lvl>
    <w:lvl w:ilvl="4" w:tplc="470E79BA" w:tentative="1">
      <w:start w:val="1"/>
      <w:numFmt w:val="lowerLetter"/>
      <w:lvlText w:val="%5."/>
      <w:lvlJc w:val="left"/>
      <w:pPr>
        <w:ind w:left="3600" w:hanging="360"/>
      </w:pPr>
    </w:lvl>
    <w:lvl w:ilvl="5" w:tplc="791C9B28" w:tentative="1">
      <w:start w:val="1"/>
      <w:numFmt w:val="lowerRoman"/>
      <w:lvlText w:val="%6."/>
      <w:lvlJc w:val="right"/>
      <w:pPr>
        <w:ind w:left="4320" w:hanging="180"/>
      </w:pPr>
    </w:lvl>
    <w:lvl w:ilvl="6" w:tplc="FA9AB1D6" w:tentative="1">
      <w:start w:val="1"/>
      <w:numFmt w:val="decimal"/>
      <w:lvlText w:val="%7."/>
      <w:lvlJc w:val="left"/>
      <w:pPr>
        <w:ind w:left="5040" w:hanging="360"/>
      </w:pPr>
    </w:lvl>
    <w:lvl w:ilvl="7" w:tplc="0AB8AA76" w:tentative="1">
      <w:start w:val="1"/>
      <w:numFmt w:val="lowerLetter"/>
      <w:lvlText w:val="%8."/>
      <w:lvlJc w:val="left"/>
      <w:pPr>
        <w:ind w:left="5760" w:hanging="360"/>
      </w:pPr>
    </w:lvl>
    <w:lvl w:ilvl="8" w:tplc="E972824E"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485C45E4">
      <w:start w:val="1"/>
      <w:numFmt w:val="lowerRoman"/>
      <w:lvlText w:val="(%1)"/>
      <w:lvlJc w:val="left"/>
      <w:pPr>
        <w:ind w:left="1080" w:hanging="720"/>
      </w:pPr>
      <w:rPr>
        <w:rFonts w:hint="default"/>
        <w:b w:val="0"/>
      </w:rPr>
    </w:lvl>
    <w:lvl w:ilvl="1" w:tplc="99281928" w:tentative="1">
      <w:start w:val="1"/>
      <w:numFmt w:val="lowerLetter"/>
      <w:lvlText w:val="%2."/>
      <w:lvlJc w:val="left"/>
      <w:pPr>
        <w:ind w:left="1440" w:hanging="360"/>
      </w:pPr>
    </w:lvl>
    <w:lvl w:ilvl="2" w:tplc="6E2E54A8" w:tentative="1">
      <w:start w:val="1"/>
      <w:numFmt w:val="lowerRoman"/>
      <w:lvlText w:val="%3."/>
      <w:lvlJc w:val="right"/>
      <w:pPr>
        <w:ind w:left="2160" w:hanging="180"/>
      </w:pPr>
    </w:lvl>
    <w:lvl w:ilvl="3" w:tplc="0DEA48C4" w:tentative="1">
      <w:start w:val="1"/>
      <w:numFmt w:val="decimal"/>
      <w:lvlText w:val="%4."/>
      <w:lvlJc w:val="left"/>
      <w:pPr>
        <w:ind w:left="2880" w:hanging="360"/>
      </w:pPr>
    </w:lvl>
    <w:lvl w:ilvl="4" w:tplc="E4A07522" w:tentative="1">
      <w:start w:val="1"/>
      <w:numFmt w:val="lowerLetter"/>
      <w:lvlText w:val="%5."/>
      <w:lvlJc w:val="left"/>
      <w:pPr>
        <w:ind w:left="3600" w:hanging="360"/>
      </w:pPr>
    </w:lvl>
    <w:lvl w:ilvl="5" w:tplc="3062839A" w:tentative="1">
      <w:start w:val="1"/>
      <w:numFmt w:val="lowerRoman"/>
      <w:lvlText w:val="%6."/>
      <w:lvlJc w:val="right"/>
      <w:pPr>
        <w:ind w:left="4320" w:hanging="180"/>
      </w:pPr>
    </w:lvl>
    <w:lvl w:ilvl="6" w:tplc="26968E04" w:tentative="1">
      <w:start w:val="1"/>
      <w:numFmt w:val="decimal"/>
      <w:lvlText w:val="%7."/>
      <w:lvlJc w:val="left"/>
      <w:pPr>
        <w:ind w:left="5040" w:hanging="360"/>
      </w:pPr>
    </w:lvl>
    <w:lvl w:ilvl="7" w:tplc="99D64BD8" w:tentative="1">
      <w:start w:val="1"/>
      <w:numFmt w:val="lowerLetter"/>
      <w:lvlText w:val="%8."/>
      <w:lvlJc w:val="left"/>
      <w:pPr>
        <w:ind w:left="5760" w:hanging="360"/>
      </w:pPr>
    </w:lvl>
    <w:lvl w:ilvl="8" w:tplc="20AE2796"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EC66BAEA">
      <w:start w:val="1"/>
      <w:numFmt w:val="decimal"/>
      <w:lvlText w:val="%1."/>
      <w:lvlJc w:val="left"/>
      <w:pPr>
        <w:ind w:left="360" w:hanging="360"/>
      </w:pPr>
      <w:rPr>
        <w:rFonts w:hint="default"/>
      </w:rPr>
    </w:lvl>
    <w:lvl w:ilvl="1" w:tplc="4AAC2056" w:tentative="1">
      <w:start w:val="1"/>
      <w:numFmt w:val="lowerLetter"/>
      <w:lvlText w:val="%2."/>
      <w:lvlJc w:val="left"/>
      <w:pPr>
        <w:ind w:left="1080" w:hanging="360"/>
      </w:pPr>
    </w:lvl>
    <w:lvl w:ilvl="2" w:tplc="E4BE0C0E" w:tentative="1">
      <w:start w:val="1"/>
      <w:numFmt w:val="lowerRoman"/>
      <w:lvlText w:val="%3."/>
      <w:lvlJc w:val="right"/>
      <w:pPr>
        <w:ind w:left="1800" w:hanging="180"/>
      </w:pPr>
    </w:lvl>
    <w:lvl w:ilvl="3" w:tplc="EE944940" w:tentative="1">
      <w:start w:val="1"/>
      <w:numFmt w:val="decimal"/>
      <w:lvlText w:val="%4."/>
      <w:lvlJc w:val="left"/>
      <w:pPr>
        <w:ind w:left="2520" w:hanging="360"/>
      </w:pPr>
    </w:lvl>
    <w:lvl w:ilvl="4" w:tplc="85E043C0" w:tentative="1">
      <w:start w:val="1"/>
      <w:numFmt w:val="lowerLetter"/>
      <w:lvlText w:val="%5."/>
      <w:lvlJc w:val="left"/>
      <w:pPr>
        <w:ind w:left="3240" w:hanging="360"/>
      </w:pPr>
    </w:lvl>
    <w:lvl w:ilvl="5" w:tplc="AEEC3398" w:tentative="1">
      <w:start w:val="1"/>
      <w:numFmt w:val="lowerRoman"/>
      <w:lvlText w:val="%6."/>
      <w:lvlJc w:val="right"/>
      <w:pPr>
        <w:ind w:left="3960" w:hanging="180"/>
      </w:pPr>
    </w:lvl>
    <w:lvl w:ilvl="6" w:tplc="B490A976" w:tentative="1">
      <w:start w:val="1"/>
      <w:numFmt w:val="decimal"/>
      <w:lvlText w:val="%7."/>
      <w:lvlJc w:val="left"/>
      <w:pPr>
        <w:ind w:left="4680" w:hanging="360"/>
      </w:pPr>
    </w:lvl>
    <w:lvl w:ilvl="7" w:tplc="89286446" w:tentative="1">
      <w:start w:val="1"/>
      <w:numFmt w:val="lowerLetter"/>
      <w:lvlText w:val="%8."/>
      <w:lvlJc w:val="left"/>
      <w:pPr>
        <w:ind w:left="5400" w:hanging="360"/>
      </w:pPr>
    </w:lvl>
    <w:lvl w:ilvl="8" w:tplc="5CF82A8A"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B2725648">
      <w:start w:val="1"/>
      <w:numFmt w:val="lowerRoman"/>
      <w:lvlText w:val="(%1)"/>
      <w:lvlJc w:val="left"/>
      <w:pPr>
        <w:ind w:left="1080" w:hanging="720"/>
      </w:pPr>
      <w:rPr>
        <w:rFonts w:hint="default"/>
      </w:rPr>
    </w:lvl>
    <w:lvl w:ilvl="1" w:tplc="603EC3FE" w:tentative="1">
      <w:start w:val="1"/>
      <w:numFmt w:val="lowerLetter"/>
      <w:lvlText w:val="%2."/>
      <w:lvlJc w:val="left"/>
      <w:pPr>
        <w:ind w:left="1440" w:hanging="360"/>
      </w:pPr>
    </w:lvl>
    <w:lvl w:ilvl="2" w:tplc="6DC24118" w:tentative="1">
      <w:start w:val="1"/>
      <w:numFmt w:val="lowerRoman"/>
      <w:lvlText w:val="%3."/>
      <w:lvlJc w:val="right"/>
      <w:pPr>
        <w:ind w:left="2160" w:hanging="180"/>
      </w:pPr>
    </w:lvl>
    <w:lvl w:ilvl="3" w:tplc="C7BE78CC" w:tentative="1">
      <w:start w:val="1"/>
      <w:numFmt w:val="decimal"/>
      <w:lvlText w:val="%4."/>
      <w:lvlJc w:val="left"/>
      <w:pPr>
        <w:ind w:left="2880" w:hanging="360"/>
      </w:pPr>
    </w:lvl>
    <w:lvl w:ilvl="4" w:tplc="A9444332" w:tentative="1">
      <w:start w:val="1"/>
      <w:numFmt w:val="lowerLetter"/>
      <w:lvlText w:val="%5."/>
      <w:lvlJc w:val="left"/>
      <w:pPr>
        <w:ind w:left="3600" w:hanging="360"/>
      </w:pPr>
    </w:lvl>
    <w:lvl w:ilvl="5" w:tplc="6318F3F8" w:tentative="1">
      <w:start w:val="1"/>
      <w:numFmt w:val="lowerRoman"/>
      <w:lvlText w:val="%6."/>
      <w:lvlJc w:val="right"/>
      <w:pPr>
        <w:ind w:left="4320" w:hanging="180"/>
      </w:pPr>
    </w:lvl>
    <w:lvl w:ilvl="6" w:tplc="287C831A" w:tentative="1">
      <w:start w:val="1"/>
      <w:numFmt w:val="decimal"/>
      <w:lvlText w:val="%7."/>
      <w:lvlJc w:val="left"/>
      <w:pPr>
        <w:ind w:left="5040" w:hanging="360"/>
      </w:pPr>
    </w:lvl>
    <w:lvl w:ilvl="7" w:tplc="DBCE18F6" w:tentative="1">
      <w:start w:val="1"/>
      <w:numFmt w:val="lowerLetter"/>
      <w:lvlText w:val="%8."/>
      <w:lvlJc w:val="left"/>
      <w:pPr>
        <w:ind w:left="5760" w:hanging="360"/>
      </w:pPr>
    </w:lvl>
    <w:lvl w:ilvl="8" w:tplc="FB56C346"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249600C4">
      <w:start w:val="1"/>
      <w:numFmt w:val="decimal"/>
      <w:lvlText w:val="%1."/>
      <w:lvlJc w:val="left"/>
      <w:pPr>
        <w:ind w:left="360" w:hanging="360"/>
      </w:pPr>
    </w:lvl>
    <w:lvl w:ilvl="1" w:tplc="98B4CADE" w:tentative="1">
      <w:start w:val="1"/>
      <w:numFmt w:val="lowerLetter"/>
      <w:lvlText w:val="%2."/>
      <w:lvlJc w:val="left"/>
      <w:pPr>
        <w:ind w:left="1080" w:hanging="360"/>
      </w:pPr>
    </w:lvl>
    <w:lvl w:ilvl="2" w:tplc="2ECA4796" w:tentative="1">
      <w:start w:val="1"/>
      <w:numFmt w:val="lowerRoman"/>
      <w:lvlText w:val="%3."/>
      <w:lvlJc w:val="right"/>
      <w:pPr>
        <w:ind w:left="1800" w:hanging="180"/>
      </w:pPr>
    </w:lvl>
    <w:lvl w:ilvl="3" w:tplc="B06E11F4" w:tentative="1">
      <w:start w:val="1"/>
      <w:numFmt w:val="decimal"/>
      <w:lvlText w:val="%4."/>
      <w:lvlJc w:val="left"/>
      <w:pPr>
        <w:ind w:left="2520" w:hanging="360"/>
      </w:pPr>
    </w:lvl>
    <w:lvl w:ilvl="4" w:tplc="0248CA0C" w:tentative="1">
      <w:start w:val="1"/>
      <w:numFmt w:val="lowerLetter"/>
      <w:lvlText w:val="%5."/>
      <w:lvlJc w:val="left"/>
      <w:pPr>
        <w:ind w:left="3240" w:hanging="360"/>
      </w:pPr>
    </w:lvl>
    <w:lvl w:ilvl="5" w:tplc="ABD47204" w:tentative="1">
      <w:start w:val="1"/>
      <w:numFmt w:val="lowerRoman"/>
      <w:lvlText w:val="%6."/>
      <w:lvlJc w:val="right"/>
      <w:pPr>
        <w:ind w:left="3960" w:hanging="180"/>
      </w:pPr>
    </w:lvl>
    <w:lvl w:ilvl="6" w:tplc="969C7C0C" w:tentative="1">
      <w:start w:val="1"/>
      <w:numFmt w:val="decimal"/>
      <w:lvlText w:val="%7."/>
      <w:lvlJc w:val="left"/>
      <w:pPr>
        <w:ind w:left="4680" w:hanging="360"/>
      </w:pPr>
    </w:lvl>
    <w:lvl w:ilvl="7" w:tplc="3B4C2918" w:tentative="1">
      <w:start w:val="1"/>
      <w:numFmt w:val="lowerLetter"/>
      <w:lvlText w:val="%8."/>
      <w:lvlJc w:val="left"/>
      <w:pPr>
        <w:ind w:left="5400" w:hanging="360"/>
      </w:pPr>
    </w:lvl>
    <w:lvl w:ilvl="8" w:tplc="EF0E978A"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B356564E">
      <w:start w:val="1"/>
      <w:numFmt w:val="lowerRoman"/>
      <w:lvlText w:val="(%1)"/>
      <w:lvlJc w:val="left"/>
      <w:pPr>
        <w:ind w:left="1080" w:hanging="720"/>
      </w:pPr>
      <w:rPr>
        <w:rFonts w:hint="default"/>
        <w:b w:val="0"/>
      </w:rPr>
    </w:lvl>
    <w:lvl w:ilvl="1" w:tplc="5A82ABF6" w:tentative="1">
      <w:start w:val="1"/>
      <w:numFmt w:val="lowerLetter"/>
      <w:lvlText w:val="%2."/>
      <w:lvlJc w:val="left"/>
      <w:pPr>
        <w:ind w:left="1440" w:hanging="360"/>
      </w:pPr>
    </w:lvl>
    <w:lvl w:ilvl="2" w:tplc="7E70174A" w:tentative="1">
      <w:start w:val="1"/>
      <w:numFmt w:val="lowerRoman"/>
      <w:lvlText w:val="%3."/>
      <w:lvlJc w:val="right"/>
      <w:pPr>
        <w:ind w:left="2160" w:hanging="180"/>
      </w:pPr>
    </w:lvl>
    <w:lvl w:ilvl="3" w:tplc="D270C728" w:tentative="1">
      <w:start w:val="1"/>
      <w:numFmt w:val="decimal"/>
      <w:lvlText w:val="%4."/>
      <w:lvlJc w:val="left"/>
      <w:pPr>
        <w:ind w:left="2880" w:hanging="360"/>
      </w:pPr>
    </w:lvl>
    <w:lvl w:ilvl="4" w:tplc="BFCEE6C8" w:tentative="1">
      <w:start w:val="1"/>
      <w:numFmt w:val="lowerLetter"/>
      <w:lvlText w:val="%5."/>
      <w:lvlJc w:val="left"/>
      <w:pPr>
        <w:ind w:left="3600" w:hanging="360"/>
      </w:pPr>
    </w:lvl>
    <w:lvl w:ilvl="5" w:tplc="3CC812A4" w:tentative="1">
      <w:start w:val="1"/>
      <w:numFmt w:val="lowerRoman"/>
      <w:lvlText w:val="%6."/>
      <w:lvlJc w:val="right"/>
      <w:pPr>
        <w:ind w:left="4320" w:hanging="180"/>
      </w:pPr>
    </w:lvl>
    <w:lvl w:ilvl="6" w:tplc="9244D762" w:tentative="1">
      <w:start w:val="1"/>
      <w:numFmt w:val="decimal"/>
      <w:lvlText w:val="%7."/>
      <w:lvlJc w:val="left"/>
      <w:pPr>
        <w:ind w:left="5040" w:hanging="360"/>
      </w:pPr>
    </w:lvl>
    <w:lvl w:ilvl="7" w:tplc="72604EB6" w:tentative="1">
      <w:start w:val="1"/>
      <w:numFmt w:val="lowerLetter"/>
      <w:lvlText w:val="%8."/>
      <w:lvlJc w:val="left"/>
      <w:pPr>
        <w:ind w:left="5760" w:hanging="360"/>
      </w:pPr>
    </w:lvl>
    <w:lvl w:ilvl="8" w:tplc="FC947EA8"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0A6D800">
      <w:start w:val="1"/>
      <w:numFmt w:val="lowerRoman"/>
      <w:lvlText w:val="(%1)"/>
      <w:lvlJc w:val="left"/>
      <w:pPr>
        <w:ind w:left="1080" w:hanging="720"/>
      </w:pPr>
      <w:rPr>
        <w:rFonts w:hint="default"/>
      </w:rPr>
    </w:lvl>
    <w:lvl w:ilvl="1" w:tplc="F754DE98" w:tentative="1">
      <w:start w:val="1"/>
      <w:numFmt w:val="lowerLetter"/>
      <w:lvlText w:val="%2."/>
      <w:lvlJc w:val="left"/>
      <w:pPr>
        <w:ind w:left="1440" w:hanging="360"/>
      </w:pPr>
    </w:lvl>
    <w:lvl w:ilvl="2" w:tplc="221602E2" w:tentative="1">
      <w:start w:val="1"/>
      <w:numFmt w:val="lowerRoman"/>
      <w:lvlText w:val="%3."/>
      <w:lvlJc w:val="right"/>
      <w:pPr>
        <w:ind w:left="2160" w:hanging="180"/>
      </w:pPr>
    </w:lvl>
    <w:lvl w:ilvl="3" w:tplc="F3D4B152" w:tentative="1">
      <w:start w:val="1"/>
      <w:numFmt w:val="decimal"/>
      <w:lvlText w:val="%4."/>
      <w:lvlJc w:val="left"/>
      <w:pPr>
        <w:ind w:left="2880" w:hanging="360"/>
      </w:pPr>
    </w:lvl>
    <w:lvl w:ilvl="4" w:tplc="47145428" w:tentative="1">
      <w:start w:val="1"/>
      <w:numFmt w:val="lowerLetter"/>
      <w:lvlText w:val="%5."/>
      <w:lvlJc w:val="left"/>
      <w:pPr>
        <w:ind w:left="3600" w:hanging="360"/>
      </w:pPr>
    </w:lvl>
    <w:lvl w:ilvl="5" w:tplc="D82CB782" w:tentative="1">
      <w:start w:val="1"/>
      <w:numFmt w:val="lowerRoman"/>
      <w:lvlText w:val="%6."/>
      <w:lvlJc w:val="right"/>
      <w:pPr>
        <w:ind w:left="4320" w:hanging="180"/>
      </w:pPr>
    </w:lvl>
    <w:lvl w:ilvl="6" w:tplc="89C84AEA" w:tentative="1">
      <w:start w:val="1"/>
      <w:numFmt w:val="decimal"/>
      <w:lvlText w:val="%7."/>
      <w:lvlJc w:val="left"/>
      <w:pPr>
        <w:ind w:left="5040" w:hanging="360"/>
      </w:pPr>
    </w:lvl>
    <w:lvl w:ilvl="7" w:tplc="6630CE88" w:tentative="1">
      <w:start w:val="1"/>
      <w:numFmt w:val="lowerLetter"/>
      <w:lvlText w:val="%8."/>
      <w:lvlJc w:val="left"/>
      <w:pPr>
        <w:ind w:left="5760" w:hanging="360"/>
      </w:pPr>
    </w:lvl>
    <w:lvl w:ilvl="8" w:tplc="BC7C5C14"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3A36BC7E">
      <w:start w:val="1"/>
      <w:numFmt w:val="lowerRoman"/>
      <w:lvlText w:val="(%1)"/>
      <w:lvlJc w:val="left"/>
      <w:pPr>
        <w:ind w:left="1080" w:hanging="720"/>
      </w:pPr>
      <w:rPr>
        <w:rFonts w:hint="default"/>
      </w:rPr>
    </w:lvl>
    <w:lvl w:ilvl="1" w:tplc="DC3EF972" w:tentative="1">
      <w:start w:val="1"/>
      <w:numFmt w:val="lowerLetter"/>
      <w:lvlText w:val="%2."/>
      <w:lvlJc w:val="left"/>
      <w:pPr>
        <w:ind w:left="1440" w:hanging="360"/>
      </w:pPr>
    </w:lvl>
    <w:lvl w:ilvl="2" w:tplc="231C2EF4" w:tentative="1">
      <w:start w:val="1"/>
      <w:numFmt w:val="lowerRoman"/>
      <w:lvlText w:val="%3."/>
      <w:lvlJc w:val="right"/>
      <w:pPr>
        <w:ind w:left="2160" w:hanging="180"/>
      </w:pPr>
    </w:lvl>
    <w:lvl w:ilvl="3" w:tplc="8C0C13DA" w:tentative="1">
      <w:start w:val="1"/>
      <w:numFmt w:val="decimal"/>
      <w:lvlText w:val="%4."/>
      <w:lvlJc w:val="left"/>
      <w:pPr>
        <w:ind w:left="2880" w:hanging="360"/>
      </w:pPr>
    </w:lvl>
    <w:lvl w:ilvl="4" w:tplc="E0388A1A" w:tentative="1">
      <w:start w:val="1"/>
      <w:numFmt w:val="lowerLetter"/>
      <w:lvlText w:val="%5."/>
      <w:lvlJc w:val="left"/>
      <w:pPr>
        <w:ind w:left="3600" w:hanging="360"/>
      </w:pPr>
    </w:lvl>
    <w:lvl w:ilvl="5" w:tplc="9E187536" w:tentative="1">
      <w:start w:val="1"/>
      <w:numFmt w:val="lowerRoman"/>
      <w:lvlText w:val="%6."/>
      <w:lvlJc w:val="right"/>
      <w:pPr>
        <w:ind w:left="4320" w:hanging="180"/>
      </w:pPr>
    </w:lvl>
    <w:lvl w:ilvl="6" w:tplc="0D2E07EE" w:tentative="1">
      <w:start w:val="1"/>
      <w:numFmt w:val="decimal"/>
      <w:lvlText w:val="%7."/>
      <w:lvlJc w:val="left"/>
      <w:pPr>
        <w:ind w:left="5040" w:hanging="360"/>
      </w:pPr>
    </w:lvl>
    <w:lvl w:ilvl="7" w:tplc="87041484" w:tentative="1">
      <w:start w:val="1"/>
      <w:numFmt w:val="lowerLetter"/>
      <w:lvlText w:val="%8."/>
      <w:lvlJc w:val="left"/>
      <w:pPr>
        <w:ind w:left="5760" w:hanging="360"/>
      </w:pPr>
    </w:lvl>
    <w:lvl w:ilvl="8" w:tplc="4E709228"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EC0AED8E">
      <w:start w:val="1"/>
      <w:numFmt w:val="lowerRoman"/>
      <w:lvlText w:val="(%1)"/>
      <w:lvlJc w:val="left"/>
      <w:pPr>
        <w:ind w:left="1004" w:hanging="720"/>
      </w:pPr>
      <w:rPr>
        <w:rFonts w:hint="default"/>
        <w:b w:val="0"/>
      </w:rPr>
    </w:lvl>
    <w:lvl w:ilvl="1" w:tplc="02502800" w:tentative="1">
      <w:start w:val="1"/>
      <w:numFmt w:val="lowerLetter"/>
      <w:lvlText w:val="%2."/>
      <w:lvlJc w:val="left"/>
      <w:pPr>
        <w:ind w:left="1364" w:hanging="360"/>
      </w:pPr>
    </w:lvl>
    <w:lvl w:ilvl="2" w:tplc="0922DCA6" w:tentative="1">
      <w:start w:val="1"/>
      <w:numFmt w:val="lowerRoman"/>
      <w:lvlText w:val="%3."/>
      <w:lvlJc w:val="right"/>
      <w:pPr>
        <w:ind w:left="2084" w:hanging="180"/>
      </w:pPr>
    </w:lvl>
    <w:lvl w:ilvl="3" w:tplc="8310A0B0" w:tentative="1">
      <w:start w:val="1"/>
      <w:numFmt w:val="decimal"/>
      <w:lvlText w:val="%4."/>
      <w:lvlJc w:val="left"/>
      <w:pPr>
        <w:ind w:left="2804" w:hanging="360"/>
      </w:pPr>
    </w:lvl>
    <w:lvl w:ilvl="4" w:tplc="20B05CAA" w:tentative="1">
      <w:start w:val="1"/>
      <w:numFmt w:val="lowerLetter"/>
      <w:lvlText w:val="%5."/>
      <w:lvlJc w:val="left"/>
      <w:pPr>
        <w:ind w:left="3524" w:hanging="360"/>
      </w:pPr>
    </w:lvl>
    <w:lvl w:ilvl="5" w:tplc="6CF08D32" w:tentative="1">
      <w:start w:val="1"/>
      <w:numFmt w:val="lowerRoman"/>
      <w:lvlText w:val="%6."/>
      <w:lvlJc w:val="right"/>
      <w:pPr>
        <w:ind w:left="4244" w:hanging="180"/>
      </w:pPr>
    </w:lvl>
    <w:lvl w:ilvl="6" w:tplc="3DDEE6E2" w:tentative="1">
      <w:start w:val="1"/>
      <w:numFmt w:val="decimal"/>
      <w:lvlText w:val="%7."/>
      <w:lvlJc w:val="left"/>
      <w:pPr>
        <w:ind w:left="4964" w:hanging="360"/>
      </w:pPr>
    </w:lvl>
    <w:lvl w:ilvl="7" w:tplc="0C6007E8" w:tentative="1">
      <w:start w:val="1"/>
      <w:numFmt w:val="lowerLetter"/>
      <w:lvlText w:val="%8."/>
      <w:lvlJc w:val="left"/>
      <w:pPr>
        <w:ind w:left="5684" w:hanging="360"/>
      </w:pPr>
    </w:lvl>
    <w:lvl w:ilvl="8" w:tplc="88280CE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39364F08">
      <w:start w:val="1"/>
      <w:numFmt w:val="decimal"/>
      <w:lvlText w:val="%1."/>
      <w:lvlJc w:val="left"/>
      <w:pPr>
        <w:ind w:left="360" w:hanging="360"/>
      </w:pPr>
      <w:rPr>
        <w:rFonts w:hint="default"/>
      </w:rPr>
    </w:lvl>
    <w:lvl w:ilvl="1" w:tplc="73DC5DAE" w:tentative="1">
      <w:start w:val="1"/>
      <w:numFmt w:val="lowerLetter"/>
      <w:lvlText w:val="%2."/>
      <w:lvlJc w:val="left"/>
      <w:pPr>
        <w:ind w:left="1080" w:hanging="360"/>
      </w:pPr>
    </w:lvl>
    <w:lvl w:ilvl="2" w:tplc="774880EE" w:tentative="1">
      <w:start w:val="1"/>
      <w:numFmt w:val="lowerRoman"/>
      <w:lvlText w:val="%3."/>
      <w:lvlJc w:val="right"/>
      <w:pPr>
        <w:ind w:left="1800" w:hanging="180"/>
      </w:pPr>
    </w:lvl>
    <w:lvl w:ilvl="3" w:tplc="A6245262" w:tentative="1">
      <w:start w:val="1"/>
      <w:numFmt w:val="decimal"/>
      <w:lvlText w:val="%4."/>
      <w:lvlJc w:val="left"/>
      <w:pPr>
        <w:ind w:left="2520" w:hanging="360"/>
      </w:pPr>
    </w:lvl>
    <w:lvl w:ilvl="4" w:tplc="F54617DE" w:tentative="1">
      <w:start w:val="1"/>
      <w:numFmt w:val="lowerLetter"/>
      <w:lvlText w:val="%5."/>
      <w:lvlJc w:val="left"/>
      <w:pPr>
        <w:ind w:left="3240" w:hanging="360"/>
      </w:pPr>
    </w:lvl>
    <w:lvl w:ilvl="5" w:tplc="FD3EFEC6" w:tentative="1">
      <w:start w:val="1"/>
      <w:numFmt w:val="lowerRoman"/>
      <w:lvlText w:val="%6."/>
      <w:lvlJc w:val="right"/>
      <w:pPr>
        <w:ind w:left="3960" w:hanging="180"/>
      </w:pPr>
    </w:lvl>
    <w:lvl w:ilvl="6" w:tplc="7C845F42" w:tentative="1">
      <w:start w:val="1"/>
      <w:numFmt w:val="decimal"/>
      <w:lvlText w:val="%7."/>
      <w:lvlJc w:val="left"/>
      <w:pPr>
        <w:ind w:left="4680" w:hanging="360"/>
      </w:pPr>
    </w:lvl>
    <w:lvl w:ilvl="7" w:tplc="FF80898A" w:tentative="1">
      <w:start w:val="1"/>
      <w:numFmt w:val="lowerLetter"/>
      <w:lvlText w:val="%8."/>
      <w:lvlJc w:val="left"/>
      <w:pPr>
        <w:ind w:left="5400" w:hanging="360"/>
      </w:pPr>
    </w:lvl>
    <w:lvl w:ilvl="8" w:tplc="07466464" w:tentative="1">
      <w:start w:val="1"/>
      <w:numFmt w:val="lowerRoman"/>
      <w:lvlText w:val="%9."/>
      <w:lvlJc w:val="right"/>
      <w:pPr>
        <w:ind w:left="6120" w:hanging="180"/>
      </w:pPr>
    </w:lvl>
  </w:abstractNum>
  <w:abstractNum w:abstractNumId="35" w15:restartNumberingAfterBreak="0">
    <w:nsid w:val="7725247A"/>
    <w:multiLevelType w:val="hybridMultilevel"/>
    <w:tmpl w:val="23A0F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A62453BA">
      <w:start w:val="1"/>
      <w:numFmt w:val="lowerRoman"/>
      <w:lvlText w:val="(%1)"/>
      <w:lvlJc w:val="left"/>
      <w:pPr>
        <w:ind w:left="1080" w:hanging="720"/>
      </w:pPr>
      <w:rPr>
        <w:rFonts w:hint="default"/>
      </w:rPr>
    </w:lvl>
    <w:lvl w:ilvl="1" w:tplc="650CE992" w:tentative="1">
      <w:start w:val="1"/>
      <w:numFmt w:val="lowerLetter"/>
      <w:lvlText w:val="%2."/>
      <w:lvlJc w:val="left"/>
      <w:pPr>
        <w:ind w:left="1440" w:hanging="360"/>
      </w:pPr>
    </w:lvl>
    <w:lvl w:ilvl="2" w:tplc="3EB28058" w:tentative="1">
      <w:start w:val="1"/>
      <w:numFmt w:val="lowerRoman"/>
      <w:lvlText w:val="%3."/>
      <w:lvlJc w:val="right"/>
      <w:pPr>
        <w:ind w:left="2160" w:hanging="180"/>
      </w:pPr>
    </w:lvl>
    <w:lvl w:ilvl="3" w:tplc="30DE07A0" w:tentative="1">
      <w:start w:val="1"/>
      <w:numFmt w:val="decimal"/>
      <w:lvlText w:val="%4."/>
      <w:lvlJc w:val="left"/>
      <w:pPr>
        <w:ind w:left="2880" w:hanging="360"/>
      </w:pPr>
    </w:lvl>
    <w:lvl w:ilvl="4" w:tplc="DA9C0C24" w:tentative="1">
      <w:start w:val="1"/>
      <w:numFmt w:val="lowerLetter"/>
      <w:lvlText w:val="%5."/>
      <w:lvlJc w:val="left"/>
      <w:pPr>
        <w:ind w:left="3600" w:hanging="360"/>
      </w:pPr>
    </w:lvl>
    <w:lvl w:ilvl="5" w:tplc="28FC93AE" w:tentative="1">
      <w:start w:val="1"/>
      <w:numFmt w:val="lowerRoman"/>
      <w:lvlText w:val="%6."/>
      <w:lvlJc w:val="right"/>
      <w:pPr>
        <w:ind w:left="4320" w:hanging="180"/>
      </w:pPr>
    </w:lvl>
    <w:lvl w:ilvl="6" w:tplc="2264B87E" w:tentative="1">
      <w:start w:val="1"/>
      <w:numFmt w:val="decimal"/>
      <w:lvlText w:val="%7."/>
      <w:lvlJc w:val="left"/>
      <w:pPr>
        <w:ind w:left="5040" w:hanging="360"/>
      </w:pPr>
    </w:lvl>
    <w:lvl w:ilvl="7" w:tplc="34003452" w:tentative="1">
      <w:start w:val="1"/>
      <w:numFmt w:val="lowerLetter"/>
      <w:lvlText w:val="%8."/>
      <w:lvlJc w:val="left"/>
      <w:pPr>
        <w:ind w:left="5760" w:hanging="360"/>
      </w:pPr>
    </w:lvl>
    <w:lvl w:ilvl="8" w:tplc="7E44892E"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19121CAE">
      <w:start w:val="1"/>
      <w:numFmt w:val="decimal"/>
      <w:lvlText w:val="%1."/>
      <w:lvlJc w:val="left"/>
      <w:pPr>
        <w:ind w:left="360" w:hanging="360"/>
      </w:pPr>
      <w:rPr>
        <w:rFonts w:hint="default"/>
      </w:rPr>
    </w:lvl>
    <w:lvl w:ilvl="1" w:tplc="8D743FBC" w:tentative="1">
      <w:start w:val="1"/>
      <w:numFmt w:val="lowerLetter"/>
      <w:lvlText w:val="%2."/>
      <w:lvlJc w:val="left"/>
      <w:pPr>
        <w:ind w:left="1080" w:hanging="360"/>
      </w:pPr>
    </w:lvl>
    <w:lvl w:ilvl="2" w:tplc="9FAAD8EC" w:tentative="1">
      <w:start w:val="1"/>
      <w:numFmt w:val="lowerRoman"/>
      <w:lvlText w:val="%3."/>
      <w:lvlJc w:val="right"/>
      <w:pPr>
        <w:ind w:left="1800" w:hanging="180"/>
      </w:pPr>
    </w:lvl>
    <w:lvl w:ilvl="3" w:tplc="6EF2CE68" w:tentative="1">
      <w:start w:val="1"/>
      <w:numFmt w:val="decimal"/>
      <w:lvlText w:val="%4."/>
      <w:lvlJc w:val="left"/>
      <w:pPr>
        <w:ind w:left="2520" w:hanging="360"/>
      </w:pPr>
    </w:lvl>
    <w:lvl w:ilvl="4" w:tplc="0C5A47BE" w:tentative="1">
      <w:start w:val="1"/>
      <w:numFmt w:val="lowerLetter"/>
      <w:lvlText w:val="%5."/>
      <w:lvlJc w:val="left"/>
      <w:pPr>
        <w:ind w:left="3240" w:hanging="360"/>
      </w:pPr>
    </w:lvl>
    <w:lvl w:ilvl="5" w:tplc="CDF02884" w:tentative="1">
      <w:start w:val="1"/>
      <w:numFmt w:val="lowerRoman"/>
      <w:lvlText w:val="%6."/>
      <w:lvlJc w:val="right"/>
      <w:pPr>
        <w:ind w:left="3960" w:hanging="180"/>
      </w:pPr>
    </w:lvl>
    <w:lvl w:ilvl="6" w:tplc="B296CD4A" w:tentative="1">
      <w:start w:val="1"/>
      <w:numFmt w:val="decimal"/>
      <w:lvlText w:val="%7."/>
      <w:lvlJc w:val="left"/>
      <w:pPr>
        <w:ind w:left="4680" w:hanging="360"/>
      </w:pPr>
    </w:lvl>
    <w:lvl w:ilvl="7" w:tplc="1180D106" w:tentative="1">
      <w:start w:val="1"/>
      <w:numFmt w:val="lowerLetter"/>
      <w:lvlText w:val="%8."/>
      <w:lvlJc w:val="left"/>
      <w:pPr>
        <w:ind w:left="5400" w:hanging="360"/>
      </w:pPr>
    </w:lvl>
    <w:lvl w:ilvl="8" w:tplc="8348F640"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C6041C86">
      <w:start w:val="1"/>
      <w:numFmt w:val="lowerRoman"/>
      <w:lvlText w:val="(%1)"/>
      <w:lvlJc w:val="left"/>
      <w:pPr>
        <w:ind w:left="1080" w:hanging="720"/>
      </w:pPr>
      <w:rPr>
        <w:rFonts w:hint="default"/>
      </w:rPr>
    </w:lvl>
    <w:lvl w:ilvl="1" w:tplc="C4B842CC" w:tentative="1">
      <w:start w:val="1"/>
      <w:numFmt w:val="lowerLetter"/>
      <w:lvlText w:val="%2."/>
      <w:lvlJc w:val="left"/>
      <w:pPr>
        <w:ind w:left="1440" w:hanging="360"/>
      </w:pPr>
    </w:lvl>
    <w:lvl w:ilvl="2" w:tplc="DFE8890E" w:tentative="1">
      <w:start w:val="1"/>
      <w:numFmt w:val="lowerRoman"/>
      <w:lvlText w:val="%3."/>
      <w:lvlJc w:val="right"/>
      <w:pPr>
        <w:ind w:left="2160" w:hanging="180"/>
      </w:pPr>
    </w:lvl>
    <w:lvl w:ilvl="3" w:tplc="414450E2" w:tentative="1">
      <w:start w:val="1"/>
      <w:numFmt w:val="decimal"/>
      <w:lvlText w:val="%4."/>
      <w:lvlJc w:val="left"/>
      <w:pPr>
        <w:ind w:left="2880" w:hanging="360"/>
      </w:pPr>
    </w:lvl>
    <w:lvl w:ilvl="4" w:tplc="7B5856E0" w:tentative="1">
      <w:start w:val="1"/>
      <w:numFmt w:val="lowerLetter"/>
      <w:lvlText w:val="%5."/>
      <w:lvlJc w:val="left"/>
      <w:pPr>
        <w:ind w:left="3600" w:hanging="360"/>
      </w:pPr>
    </w:lvl>
    <w:lvl w:ilvl="5" w:tplc="22B01818" w:tentative="1">
      <w:start w:val="1"/>
      <w:numFmt w:val="lowerRoman"/>
      <w:lvlText w:val="%6."/>
      <w:lvlJc w:val="right"/>
      <w:pPr>
        <w:ind w:left="4320" w:hanging="180"/>
      </w:pPr>
    </w:lvl>
    <w:lvl w:ilvl="6" w:tplc="D0DE6284" w:tentative="1">
      <w:start w:val="1"/>
      <w:numFmt w:val="decimal"/>
      <w:lvlText w:val="%7."/>
      <w:lvlJc w:val="left"/>
      <w:pPr>
        <w:ind w:left="5040" w:hanging="360"/>
      </w:pPr>
    </w:lvl>
    <w:lvl w:ilvl="7" w:tplc="F0A48C7A" w:tentative="1">
      <w:start w:val="1"/>
      <w:numFmt w:val="lowerLetter"/>
      <w:lvlText w:val="%8."/>
      <w:lvlJc w:val="left"/>
      <w:pPr>
        <w:ind w:left="5760" w:hanging="360"/>
      </w:pPr>
    </w:lvl>
    <w:lvl w:ilvl="8" w:tplc="CD76CD0C"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C14CFF78">
      <w:start w:val="1"/>
      <w:numFmt w:val="decimal"/>
      <w:lvlText w:val="%1."/>
      <w:lvlJc w:val="left"/>
      <w:pPr>
        <w:ind w:left="360" w:hanging="360"/>
      </w:pPr>
      <w:rPr>
        <w:rFonts w:hint="default"/>
      </w:rPr>
    </w:lvl>
    <w:lvl w:ilvl="1" w:tplc="6110F682" w:tentative="1">
      <w:start w:val="1"/>
      <w:numFmt w:val="lowerLetter"/>
      <w:lvlText w:val="%2."/>
      <w:lvlJc w:val="left"/>
      <w:pPr>
        <w:ind w:left="1080" w:hanging="360"/>
      </w:pPr>
    </w:lvl>
    <w:lvl w:ilvl="2" w:tplc="6E6A671A" w:tentative="1">
      <w:start w:val="1"/>
      <w:numFmt w:val="lowerRoman"/>
      <w:lvlText w:val="%3."/>
      <w:lvlJc w:val="right"/>
      <w:pPr>
        <w:ind w:left="1800" w:hanging="180"/>
      </w:pPr>
    </w:lvl>
    <w:lvl w:ilvl="3" w:tplc="CC36C586" w:tentative="1">
      <w:start w:val="1"/>
      <w:numFmt w:val="decimal"/>
      <w:lvlText w:val="%4."/>
      <w:lvlJc w:val="left"/>
      <w:pPr>
        <w:ind w:left="2520" w:hanging="360"/>
      </w:pPr>
    </w:lvl>
    <w:lvl w:ilvl="4" w:tplc="2660B4C0" w:tentative="1">
      <w:start w:val="1"/>
      <w:numFmt w:val="lowerLetter"/>
      <w:lvlText w:val="%5."/>
      <w:lvlJc w:val="left"/>
      <w:pPr>
        <w:ind w:left="3240" w:hanging="360"/>
      </w:pPr>
    </w:lvl>
    <w:lvl w:ilvl="5" w:tplc="A79445CA" w:tentative="1">
      <w:start w:val="1"/>
      <w:numFmt w:val="lowerRoman"/>
      <w:lvlText w:val="%6."/>
      <w:lvlJc w:val="right"/>
      <w:pPr>
        <w:ind w:left="3960" w:hanging="180"/>
      </w:pPr>
    </w:lvl>
    <w:lvl w:ilvl="6" w:tplc="BD8667D0" w:tentative="1">
      <w:start w:val="1"/>
      <w:numFmt w:val="decimal"/>
      <w:lvlText w:val="%7."/>
      <w:lvlJc w:val="left"/>
      <w:pPr>
        <w:ind w:left="4680" w:hanging="360"/>
      </w:pPr>
    </w:lvl>
    <w:lvl w:ilvl="7" w:tplc="30C8BBC4" w:tentative="1">
      <w:start w:val="1"/>
      <w:numFmt w:val="lowerLetter"/>
      <w:lvlText w:val="%8."/>
      <w:lvlJc w:val="left"/>
      <w:pPr>
        <w:ind w:left="5400" w:hanging="360"/>
      </w:pPr>
    </w:lvl>
    <w:lvl w:ilvl="8" w:tplc="F3F0F912"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2A486490">
      <w:start w:val="1"/>
      <w:numFmt w:val="decimal"/>
      <w:lvlText w:val="%1."/>
      <w:lvlJc w:val="left"/>
      <w:pPr>
        <w:ind w:left="360" w:hanging="360"/>
      </w:pPr>
      <w:rPr>
        <w:rFonts w:hint="default"/>
      </w:rPr>
    </w:lvl>
    <w:lvl w:ilvl="1" w:tplc="87FC7910" w:tentative="1">
      <w:start w:val="1"/>
      <w:numFmt w:val="lowerLetter"/>
      <w:lvlText w:val="%2."/>
      <w:lvlJc w:val="left"/>
      <w:pPr>
        <w:ind w:left="1080" w:hanging="360"/>
      </w:pPr>
    </w:lvl>
    <w:lvl w:ilvl="2" w:tplc="D39A3880" w:tentative="1">
      <w:start w:val="1"/>
      <w:numFmt w:val="lowerRoman"/>
      <w:lvlText w:val="%3."/>
      <w:lvlJc w:val="right"/>
      <w:pPr>
        <w:ind w:left="1800" w:hanging="180"/>
      </w:pPr>
    </w:lvl>
    <w:lvl w:ilvl="3" w:tplc="025E3D1E" w:tentative="1">
      <w:start w:val="1"/>
      <w:numFmt w:val="decimal"/>
      <w:lvlText w:val="%4."/>
      <w:lvlJc w:val="left"/>
      <w:pPr>
        <w:ind w:left="2520" w:hanging="360"/>
      </w:pPr>
    </w:lvl>
    <w:lvl w:ilvl="4" w:tplc="29FAC0FE" w:tentative="1">
      <w:start w:val="1"/>
      <w:numFmt w:val="lowerLetter"/>
      <w:lvlText w:val="%5."/>
      <w:lvlJc w:val="left"/>
      <w:pPr>
        <w:ind w:left="3240" w:hanging="360"/>
      </w:pPr>
    </w:lvl>
    <w:lvl w:ilvl="5" w:tplc="435201AA" w:tentative="1">
      <w:start w:val="1"/>
      <w:numFmt w:val="lowerRoman"/>
      <w:lvlText w:val="%6."/>
      <w:lvlJc w:val="right"/>
      <w:pPr>
        <w:ind w:left="3960" w:hanging="180"/>
      </w:pPr>
    </w:lvl>
    <w:lvl w:ilvl="6" w:tplc="31342210" w:tentative="1">
      <w:start w:val="1"/>
      <w:numFmt w:val="decimal"/>
      <w:lvlText w:val="%7."/>
      <w:lvlJc w:val="left"/>
      <w:pPr>
        <w:ind w:left="4680" w:hanging="360"/>
      </w:pPr>
    </w:lvl>
    <w:lvl w:ilvl="7" w:tplc="271E2BF8" w:tentative="1">
      <w:start w:val="1"/>
      <w:numFmt w:val="lowerLetter"/>
      <w:lvlText w:val="%8."/>
      <w:lvlJc w:val="left"/>
      <w:pPr>
        <w:ind w:left="5400" w:hanging="360"/>
      </w:pPr>
    </w:lvl>
    <w:lvl w:ilvl="8" w:tplc="4412F694" w:tentative="1">
      <w:start w:val="1"/>
      <w:numFmt w:val="lowerRoman"/>
      <w:lvlText w:val="%9."/>
      <w:lvlJc w:val="right"/>
      <w:pPr>
        <w:ind w:left="6120" w:hanging="180"/>
      </w:pPr>
    </w:lvl>
  </w:abstractNum>
  <w:num w:numId="1">
    <w:abstractNumId w:val="9"/>
  </w:num>
  <w:num w:numId="2">
    <w:abstractNumId w:val="21"/>
  </w:num>
  <w:num w:numId="3">
    <w:abstractNumId w:val="37"/>
  </w:num>
  <w:num w:numId="4">
    <w:abstractNumId w:val="40"/>
  </w:num>
  <w:num w:numId="5">
    <w:abstractNumId w:val="27"/>
  </w:num>
  <w:num w:numId="6">
    <w:abstractNumId w:val="17"/>
  </w:num>
  <w:num w:numId="7">
    <w:abstractNumId w:val="34"/>
  </w:num>
  <w:num w:numId="8">
    <w:abstractNumId w:val="16"/>
  </w:num>
  <w:num w:numId="9">
    <w:abstractNumId w:val="22"/>
  </w:num>
  <w:num w:numId="10">
    <w:abstractNumId w:val="39"/>
  </w:num>
  <w:num w:numId="11">
    <w:abstractNumId w:val="15"/>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8"/>
  </w:num>
  <w:num w:numId="20">
    <w:abstractNumId w:val="26"/>
  </w:num>
  <w:num w:numId="21">
    <w:abstractNumId w:val="8"/>
  </w:num>
  <w:num w:numId="22">
    <w:abstractNumId w:val="14"/>
  </w:num>
  <w:num w:numId="23">
    <w:abstractNumId w:val="32"/>
  </w:num>
  <w:num w:numId="24">
    <w:abstractNumId w:val="23"/>
  </w:num>
  <w:num w:numId="25">
    <w:abstractNumId w:val="19"/>
  </w:num>
  <w:num w:numId="26">
    <w:abstractNumId w:val="13"/>
  </w:num>
  <w:num w:numId="27">
    <w:abstractNumId w:val="24"/>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 w:numId="39">
    <w:abstractNumId w:val="20"/>
  </w:num>
  <w:num w:numId="40">
    <w:abstractNumId w:val="35"/>
  </w:num>
  <w:num w:numId="41">
    <w:abstractNumId w:val="7"/>
  </w:num>
  <w:num w:numId="42">
    <w:abstractNumId w:val="9"/>
  </w:num>
  <w:num w:numId="4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E2"/>
    <w:rsid w:val="0000474B"/>
    <w:rsid w:val="0028669E"/>
    <w:rsid w:val="002E561B"/>
    <w:rsid w:val="002F49E2"/>
    <w:rsid w:val="005A689A"/>
    <w:rsid w:val="006D0944"/>
    <w:rsid w:val="009D5010"/>
    <w:rsid w:val="00A32A4E"/>
    <w:rsid w:val="00B236B7"/>
    <w:rsid w:val="00B9311E"/>
    <w:rsid w:val="00DD06C4"/>
    <w:rsid w:val="00F540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2A60"/>
  <w15:docId w15:val="{D513B45D-5AF3-4B0D-A5D1-07FA5E7D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6955</RACS_x0020_ID>
    <Approved_x0020_Provider xmlns="a8338b6e-77a6-4851-82b6-98166143ffdd">Churches of Christ Life Care Incorporated</Approved_x0020_Provider>
    <Management_x0020_Company_x0020_ID xmlns="a8338b6e-77a6-4851-82b6-98166143ffdd" xsi:nil="true"/>
    <Home xmlns="a8338b6e-77a6-4851-82b6-98166143ffdd">Gaynes Park Manor</Home>
    <Signed xmlns="a8338b6e-77a6-4851-82b6-98166143ffdd" xsi:nil="true"/>
    <Uploaded xmlns="a8338b6e-77a6-4851-82b6-98166143ffdd">False</Uploaded>
    <Management_x0020_Company xmlns="a8338b6e-77a6-4851-82b6-98166143ffdd" xsi:nil="true"/>
    <Doc_x0020_Date xmlns="a8338b6e-77a6-4851-82b6-98166143ffdd">2021-06-28T01:32:00+00:00</Doc_x0020_Date>
    <CSI_x0020_ID xmlns="a8338b6e-77a6-4851-82b6-98166143ffdd" xsi:nil="true"/>
    <Case_x0020_ID xmlns="a8338b6e-77a6-4851-82b6-98166143ffdd" xsi:nil="true"/>
    <Approved_x0020_Provider_x0020_ID xmlns="a8338b6e-77a6-4851-82b6-98166143ffdd">3B6D8368-77F4-DC11-AD41-005056922186</Approved_x0020_Provider_x0020_ID>
    <Location xmlns="a8338b6e-77a6-4851-82b6-98166143ffdd" xsi:nil="true"/>
    <Home_x0020_ID xmlns="a8338b6e-77a6-4851-82b6-98166143ffdd">1FFF2E1C-7CF4-DC11-AD41-005056922186</Home_x0020_ID>
    <State xmlns="a8338b6e-77a6-4851-82b6-98166143ffdd">SA</State>
    <Doc_x0020_Sent_Received_x0020_Date xmlns="a8338b6e-77a6-4851-82b6-98166143ffdd">2021-06-28T00:00:00+00:00</Doc_x0020_Sent_Received_x0020_Date>
    <Activity_x0020_ID xmlns="a8338b6e-77a6-4851-82b6-98166143ffdd">7B9E34DF-1DCF-EB11-AC89-005056922186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B68E-2775-44D0-BCEE-544BC29B9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46EE0D0-B07C-49FC-BDD4-0DBE911D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2021-08-12T03:25:00Z</dcterms:created>
  <dcterms:modified xsi:type="dcterms:W3CDTF">2021-08-12T03:25:00Z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