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B62F" w14:textId="77777777" w:rsidR="00C41E94" w:rsidRPr="002C3EBF" w:rsidRDefault="00C41E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963FEC" wp14:editId="711F2A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2E2588" w14:textId="77777777" w:rsidR="00C41E94" w:rsidRDefault="00C41E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62A101" w14:textId="77777777" w:rsidR="00C41E94" w:rsidRDefault="00C41E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C791F5" w14:textId="77777777" w:rsidR="00C41E94" w:rsidRPr="002C3EBF" w:rsidRDefault="00C41E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1DF0" w14:paraId="685215EE" w14:textId="77777777" w:rsidTr="00D91DF0">
        <w:tc>
          <w:tcPr>
            <w:cnfStyle w:val="001000000000" w:firstRow="0" w:lastRow="0" w:firstColumn="1" w:lastColumn="0" w:oddVBand="0" w:evenVBand="0" w:oddHBand="0" w:evenHBand="0" w:firstRowFirstColumn="0" w:firstRowLastColumn="0" w:lastRowFirstColumn="0" w:lastRowLastColumn="0"/>
            <w:tcW w:w="3227" w:type="dxa"/>
          </w:tcPr>
          <w:p w14:paraId="7C3741BC" w14:textId="77777777" w:rsidR="00C41E94" w:rsidRPr="00996FAF" w:rsidRDefault="00C41E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E1D26A" w14:textId="77777777" w:rsidR="00C41E94" w:rsidRPr="00996FAF" w:rsidRDefault="00C41E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Stirling</w:t>
            </w:r>
          </w:p>
        </w:tc>
      </w:tr>
      <w:tr w:rsidR="00D91DF0" w14:paraId="785F7767" w14:textId="77777777" w:rsidTr="00D91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03B2E" w14:textId="77777777" w:rsidR="00C41E94" w:rsidRPr="00996FAF" w:rsidRDefault="00C41E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8B26E1" w14:textId="77777777" w:rsidR="00C41E94" w:rsidRPr="00C27BE3" w:rsidRDefault="00C41E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7277</w:t>
            </w:r>
          </w:p>
        </w:tc>
      </w:tr>
      <w:tr w:rsidR="00D91DF0" w14:paraId="027D59FA" w14:textId="77777777" w:rsidTr="00D91D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49951" w14:textId="77777777" w:rsidR="00C41E94" w:rsidRPr="00996FAF" w:rsidRDefault="00C41E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2A654E" w14:textId="77777777" w:rsidR="00C41E94" w:rsidRPr="00996FAF" w:rsidRDefault="00C41E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Spencer</w:t>
            </w:r>
            <w:r>
              <w:rPr>
                <w:rFonts w:ascii="Arial" w:eastAsia="Times New Roman" w:hAnsi="Arial" w:cs="Arial"/>
                <w:lang w:eastAsia="en-AU"/>
              </w:rPr>
              <w:t xml:space="preserve"> Avenue, YOKINE, Western Australia, 6060</w:t>
            </w:r>
          </w:p>
        </w:tc>
      </w:tr>
      <w:tr w:rsidR="00D91DF0" w14:paraId="3CD218FB" w14:textId="77777777" w:rsidTr="00D91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17568" w14:textId="77777777" w:rsidR="00C41E94" w:rsidRPr="00996FAF" w:rsidRDefault="00C41E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31E95B" w14:textId="77777777" w:rsidR="00C41E94" w:rsidRPr="00996FAF" w:rsidRDefault="00C41E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91DF0" w14:paraId="60DC4CF6" w14:textId="77777777" w:rsidTr="00D91D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15359D" w14:textId="77777777" w:rsidR="00C41E94" w:rsidRPr="00996FAF" w:rsidRDefault="00C41E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B6BF79" w14:textId="3793B333" w:rsidR="00C41E94" w:rsidRPr="00996FAF" w:rsidRDefault="00C41E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May 2024</w:t>
            </w:r>
          </w:p>
        </w:tc>
      </w:tr>
      <w:tr w:rsidR="00D91DF0" w14:paraId="05BBE568" w14:textId="77777777" w:rsidTr="00D91D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81688F" w14:textId="77777777" w:rsidR="00C41E94" w:rsidRPr="00996FAF" w:rsidRDefault="00C41E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55881710"/>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45952511" w14:textId="299C21B9" w:rsidR="00C41E94" w:rsidRPr="00996FAF" w:rsidRDefault="007D65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D91DF0" w14:paraId="1D52FBD0" w14:textId="77777777" w:rsidTr="00D91D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5C6D4C" w14:textId="77777777" w:rsidR="00C41E94" w:rsidRPr="00996FAF" w:rsidRDefault="00C41E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D9BE06" w14:textId="77777777" w:rsidR="00C41E94" w:rsidRPr="009B6303" w:rsidRDefault="00C41E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145BB59D" w14:textId="77777777" w:rsidR="00C41E94" w:rsidRPr="009B6303" w:rsidRDefault="00C41E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5727 Aegis Stirling</w:t>
            </w:r>
          </w:p>
        </w:tc>
      </w:tr>
    </w:tbl>
    <w:bookmarkEnd w:id="0"/>
    <w:p w14:paraId="139321BF" w14:textId="77777777" w:rsidR="00C41E94" w:rsidRPr="00996FAF" w:rsidRDefault="00C41E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82654C" w14:textId="77777777" w:rsidR="00C41E94" w:rsidRPr="00996FAF" w:rsidRDefault="00C41E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B74BDF8" w14:textId="52A0552D" w:rsidR="00C41E94" w:rsidRPr="00996FAF" w:rsidRDefault="00C41E94" w:rsidP="0036130C">
      <w:pPr>
        <w:pStyle w:val="NormalArial"/>
      </w:pPr>
      <w:r w:rsidRPr="00996FAF">
        <w:t xml:space="preserve">This performance report for </w:t>
      </w:r>
      <w:r w:rsidRPr="00C27BE3">
        <w:rPr>
          <w:color w:val="auto"/>
        </w:rPr>
        <w:t>Aegis Stirling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D32B2F">
        <w:rPr>
          <w:color w:val="auto"/>
        </w:rPr>
        <w:t>,</w:t>
      </w:r>
      <w:r>
        <w:rPr>
          <w:color w:val="0000FF"/>
        </w:rPr>
        <w:t xml:space="preserve"> </w:t>
      </w:r>
      <w:r w:rsidRPr="00996FAF">
        <w:t>delegate of the Aged Care Quality and Safety Commissioner (Commissioner)</w:t>
      </w:r>
      <w:r w:rsidR="000C3303">
        <w:t>.</w:t>
      </w:r>
      <w:r w:rsidRPr="00996FAF">
        <w:t xml:space="preserve"> </w:t>
      </w:r>
    </w:p>
    <w:p w14:paraId="08A8B720" w14:textId="05C19CF4" w:rsidR="00C41E94" w:rsidRPr="00996FAF" w:rsidRDefault="00C41E94" w:rsidP="0036130C">
      <w:pPr>
        <w:pStyle w:val="NormalArial"/>
      </w:pPr>
      <w:r w:rsidRPr="00996FAF">
        <w:t>This performance report details the Commissioner’s assessment of the provider’s performance, in relation to the service, against the Aged Care Quality Standards (Quality Standards).</w:t>
      </w:r>
      <w:r w:rsidR="000C3303">
        <w:t xml:space="preserve"> </w:t>
      </w:r>
      <w:r w:rsidRPr="00996FAF">
        <w:t>The Quality Standards and requirements are assessed as either compliant or non-compliant at the Standard and requirement level where applicable.</w:t>
      </w:r>
    </w:p>
    <w:p w14:paraId="70AA08A7" w14:textId="77777777" w:rsidR="00C41E94" w:rsidRPr="00996FAF" w:rsidRDefault="00C41E94" w:rsidP="00712752">
      <w:pPr>
        <w:pStyle w:val="Heading1"/>
        <w:spacing w:before="240" w:after="240" w:line="22" w:lineRule="atLeast"/>
        <w:rPr>
          <w:rFonts w:ascii="Arial" w:hAnsi="Arial" w:cs="Arial"/>
        </w:rPr>
      </w:pPr>
      <w:r w:rsidRPr="00996FAF">
        <w:rPr>
          <w:rFonts w:ascii="Arial" w:hAnsi="Arial" w:cs="Arial"/>
        </w:rPr>
        <w:t>Material relied on</w:t>
      </w:r>
    </w:p>
    <w:p w14:paraId="461AEFD8" w14:textId="77777777" w:rsidR="00C41E94" w:rsidRPr="00996FAF" w:rsidRDefault="00C41E94" w:rsidP="0036130C">
      <w:pPr>
        <w:pStyle w:val="NormalArial"/>
      </w:pPr>
      <w:r w:rsidRPr="00996FAF">
        <w:t>The following information has been considered in preparing the performance report:</w:t>
      </w:r>
    </w:p>
    <w:p w14:paraId="12701101" w14:textId="2D94B0AB" w:rsidR="00C41E94" w:rsidRPr="00701CBF" w:rsidRDefault="00C41E94" w:rsidP="00701CBF">
      <w:pPr>
        <w:pStyle w:val="ListBullet"/>
        <w:spacing w:before="0" w:after="120" w:line="22" w:lineRule="atLeast"/>
        <w:ind w:left="425" w:hanging="425"/>
        <w:rPr>
          <w:rFonts w:ascii="Arial" w:hAnsi="Arial" w:cs="Arial"/>
          <w:color w:val="auto"/>
        </w:rPr>
      </w:pPr>
      <w:r w:rsidRPr="00701CBF">
        <w:rPr>
          <w:rFonts w:ascii="Arial" w:hAnsi="Arial" w:cs="Arial"/>
          <w:color w:val="auto"/>
        </w:rPr>
        <w:t xml:space="preserve">the assessment team’s report for the </w:t>
      </w:r>
      <w:r w:rsidR="00D32B2F">
        <w:rPr>
          <w:rFonts w:ascii="Arial" w:hAnsi="Arial" w:cs="Arial"/>
          <w:color w:val="auto"/>
        </w:rPr>
        <w:t>a</w:t>
      </w:r>
      <w:r w:rsidRPr="00701CBF">
        <w:rPr>
          <w:rFonts w:ascii="Arial" w:hAnsi="Arial" w:cs="Arial"/>
          <w:color w:val="auto"/>
        </w:rPr>
        <w:t>ssessment contact (performance assessment) – site</w:t>
      </w:r>
      <w:r w:rsidR="00D32B2F">
        <w:rPr>
          <w:rFonts w:ascii="Arial" w:hAnsi="Arial" w:cs="Arial"/>
          <w:color w:val="auto"/>
        </w:rPr>
        <w:t>,</w:t>
      </w:r>
      <w:r w:rsidR="00B57F97">
        <w:rPr>
          <w:rFonts w:ascii="Arial" w:hAnsi="Arial" w:cs="Arial"/>
          <w:color w:val="auto"/>
        </w:rPr>
        <w:t xml:space="preserve"> which</w:t>
      </w:r>
      <w:r w:rsidRPr="00701CBF">
        <w:rPr>
          <w:rFonts w:ascii="Arial" w:hAnsi="Arial" w:cs="Arial"/>
          <w:color w:val="auto"/>
        </w:rPr>
        <w:t xml:space="preserve"> was informed by a site assessment, observations at the service, review of documents and interviews with consumers</w:t>
      </w:r>
      <w:r w:rsidR="00701CBF" w:rsidRPr="00701CBF">
        <w:rPr>
          <w:rFonts w:ascii="Arial" w:hAnsi="Arial" w:cs="Arial"/>
          <w:color w:val="auto"/>
        </w:rPr>
        <w:t xml:space="preserve">, </w:t>
      </w:r>
      <w:r w:rsidRPr="00701CBF">
        <w:rPr>
          <w:rFonts w:ascii="Arial" w:hAnsi="Arial" w:cs="Arial"/>
          <w:color w:val="auto"/>
        </w:rPr>
        <w:t>representatives</w:t>
      </w:r>
      <w:r w:rsidR="00701CBF" w:rsidRPr="00701CBF">
        <w:rPr>
          <w:rFonts w:ascii="Arial" w:hAnsi="Arial" w:cs="Arial"/>
          <w:color w:val="auto"/>
        </w:rPr>
        <w:t>, staff, management</w:t>
      </w:r>
      <w:r w:rsidRPr="00701CBF">
        <w:rPr>
          <w:rFonts w:ascii="Arial" w:hAnsi="Arial" w:cs="Arial"/>
          <w:color w:val="auto"/>
        </w:rPr>
        <w:t xml:space="preserve"> and others</w:t>
      </w:r>
      <w:r w:rsidR="00701CBF" w:rsidRPr="00701CBF">
        <w:rPr>
          <w:rFonts w:ascii="Arial" w:hAnsi="Arial" w:cs="Arial"/>
          <w:color w:val="auto"/>
        </w:rPr>
        <w:t>; and</w:t>
      </w:r>
    </w:p>
    <w:p w14:paraId="70491D8A" w14:textId="22991949" w:rsidR="00C41E94" w:rsidRPr="00F263DC" w:rsidRDefault="00C41E94" w:rsidP="00701CBF">
      <w:pPr>
        <w:pStyle w:val="ListBullet"/>
        <w:spacing w:before="0" w:after="120" w:line="22" w:lineRule="atLeast"/>
        <w:ind w:left="425" w:hanging="425"/>
        <w:rPr>
          <w:rFonts w:ascii="Arial" w:hAnsi="Arial" w:cs="Arial"/>
          <w:color w:val="auto"/>
        </w:rPr>
      </w:pPr>
      <w:r w:rsidRPr="00F263DC">
        <w:rPr>
          <w:rFonts w:ascii="Arial" w:hAnsi="Arial" w:cs="Arial"/>
          <w:color w:val="auto"/>
        </w:rPr>
        <w:t xml:space="preserve">the provider’s response to the assessment team’s report received </w:t>
      </w:r>
      <w:r w:rsidR="00F263DC" w:rsidRPr="00F263DC">
        <w:rPr>
          <w:rFonts w:ascii="Arial" w:hAnsi="Arial" w:cs="Arial"/>
          <w:color w:val="auto"/>
        </w:rPr>
        <w:t xml:space="preserve">28 May 2024. The response includes commentary relating to the deficits identified in the assessment team’s report, as well as supporting documentation. </w:t>
      </w:r>
    </w:p>
    <w:p w14:paraId="337D231C" w14:textId="3A144620" w:rsidR="00C41E94" w:rsidRPr="00712752" w:rsidRDefault="00C41E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B8B7EB" w14:textId="77777777" w:rsidR="00C41E94" w:rsidRPr="00996FAF" w:rsidRDefault="00C41E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91DF0" w14:paraId="296E1EC8" w14:textId="77777777" w:rsidTr="00D91D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B62109" w14:textId="77777777" w:rsidR="00C41E94" w:rsidRPr="00996FAF" w:rsidRDefault="00C41E94" w:rsidP="002C5FA9">
            <w:pPr>
              <w:keepNext/>
              <w:spacing w:before="0" w:line="22" w:lineRule="atLeast"/>
              <w:rPr>
                <w:rFonts w:ascii="Arial" w:hAnsi="Arial" w:cs="Arial"/>
              </w:rPr>
            </w:pPr>
            <w:r w:rsidRPr="00996FAF">
              <w:rPr>
                <w:rFonts w:ascii="Arial" w:hAnsi="Arial" w:cs="Arial"/>
              </w:rPr>
              <w:t xml:space="preserve">Standard 3 </w:t>
            </w:r>
            <w:r w:rsidRPr="00701CBF">
              <w:rPr>
                <w:rFonts w:ascii="Arial" w:hAnsi="Arial" w:cs="Arial"/>
                <w:b w:val="0"/>
                <w:bCs/>
              </w:rPr>
              <w:t>Personal care and clinical care</w:t>
            </w:r>
          </w:p>
        </w:tc>
        <w:tc>
          <w:tcPr>
            <w:tcW w:w="1175" w:type="pct"/>
            <w:shd w:val="clear" w:color="auto" w:fill="auto"/>
          </w:tcPr>
          <w:p w14:paraId="7C1E173B" w14:textId="1B42B1C1" w:rsidR="00C41E94" w:rsidRPr="007B75E4" w:rsidRDefault="007D653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r>
              <w:rPr>
                <w:rFonts w:ascii="Arial" w:hAnsi="Arial" w:cs="Arial"/>
                <w:bCs/>
                <w:color w:val="auto"/>
              </w:rPr>
              <w:t xml:space="preserve">Not applicable as not all requirements were assessed. </w:t>
            </w:r>
          </w:p>
        </w:tc>
      </w:tr>
    </w:tbl>
    <w:p w14:paraId="16A1698C" w14:textId="77777777" w:rsidR="00C41E94" w:rsidRPr="00996FAF" w:rsidRDefault="00C41E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5ACE2A" w14:textId="77777777" w:rsidR="00C41E94" w:rsidRPr="00996FAF" w:rsidRDefault="00C41E94" w:rsidP="00712752">
      <w:pPr>
        <w:pStyle w:val="Heading1"/>
        <w:spacing w:before="0" w:after="240" w:line="22" w:lineRule="atLeast"/>
        <w:rPr>
          <w:rFonts w:ascii="Arial" w:hAnsi="Arial" w:cs="Arial"/>
        </w:rPr>
      </w:pPr>
      <w:r w:rsidRPr="00996FAF">
        <w:rPr>
          <w:rFonts w:ascii="Arial" w:hAnsi="Arial" w:cs="Arial"/>
        </w:rPr>
        <w:t>Areas for improvement</w:t>
      </w:r>
    </w:p>
    <w:p w14:paraId="1E5A6EF2" w14:textId="77777777" w:rsidR="00C41E94" w:rsidRPr="007D6535" w:rsidRDefault="00C41E94" w:rsidP="007D6535">
      <w:pPr>
        <w:spacing w:before="240" w:after="240" w:line="22" w:lineRule="atLeast"/>
        <w:rPr>
          <w:rFonts w:ascii="Arial" w:hAnsi="Arial" w:cs="Arial"/>
        </w:rPr>
      </w:pPr>
      <w:r w:rsidRPr="007D653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7DC110" w14:textId="4D9F630E" w:rsidR="00C41E94" w:rsidRPr="00996FAF" w:rsidRDefault="00C41E94"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3114A03C" w14:textId="749096F0" w:rsidR="00C41E94" w:rsidRPr="00334B7D" w:rsidRDefault="001D1000" w:rsidP="0036130C">
      <w:pPr>
        <w:pStyle w:val="ListBullet"/>
        <w:spacing w:before="0" w:after="120" w:line="22" w:lineRule="atLeast"/>
        <w:ind w:left="425" w:hanging="425"/>
      </w:pPr>
      <w:sdt>
        <w:sdtPr>
          <w:rPr>
            <w:rFonts w:ascii="Arial" w:hAnsi="Arial" w:cs="Arial"/>
            <w:color w:val="0000FF"/>
          </w:rPr>
          <w:alias w:val="Insert comments here"/>
          <w:tag w:val="Insert comments here"/>
          <w:id w:val="-1788384266"/>
          <w:placeholder>
            <w:docPart w:val="0D61E033F7B14F8F811FEE8D2AABD251"/>
          </w:placeholder>
        </w:sdtPr>
        <w:sdtEndPr>
          <w:rPr>
            <w:rFonts w:ascii="Fira Sans Light" w:hAnsi="Fira Sans Light" w:cs="Times New Roman"/>
            <w:color w:val="000000" w:themeColor="text1"/>
          </w:rPr>
        </w:sdtEndPr>
        <w:sdtContent>
          <w:r w:rsidR="00C547A7" w:rsidRPr="000E0B3D">
            <w:rPr>
              <w:rFonts w:ascii="Arial" w:hAnsi="Arial" w:cs="Arial"/>
              <w:color w:val="auto"/>
            </w:rPr>
            <w:t>Th</w:t>
          </w:r>
          <w:r w:rsidR="004211F3" w:rsidRPr="000E0B3D">
            <w:rPr>
              <w:rFonts w:ascii="Arial" w:hAnsi="Arial" w:cs="Arial"/>
              <w:color w:val="auto"/>
            </w:rPr>
            <w:t xml:space="preserve">e assessment team initially entered the service to undertake a food, dining and nutrition monitoring visit. However, in response to deficits identified, the </w:t>
          </w:r>
          <w:r w:rsidR="00062BC7" w:rsidRPr="000E0B3D">
            <w:rPr>
              <w:rFonts w:ascii="Arial" w:hAnsi="Arial" w:cs="Arial"/>
              <w:color w:val="auto"/>
            </w:rPr>
            <w:t>visit was changed to an assessment of performance, focussing on requirement (3)(b) in Standard 3 Personal care and clinical care.</w:t>
          </w:r>
          <w:r w:rsidR="00062BC7" w:rsidRPr="000E0B3D">
            <w:rPr>
              <w:color w:val="auto"/>
            </w:rPr>
            <w:t xml:space="preserve"> </w:t>
          </w:r>
        </w:sdtContent>
      </w:sdt>
      <w:r w:rsidR="00C41E94" w:rsidRPr="00996FAF">
        <w:br w:type="page"/>
      </w:r>
    </w:p>
    <w:p w14:paraId="7F53E0DB" w14:textId="77777777" w:rsidR="00C41E94" w:rsidRPr="00996FAF" w:rsidRDefault="00C41E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91DF0" w14:paraId="4107EBE2" w14:textId="77777777" w:rsidTr="00D91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E62133" w14:textId="77777777" w:rsidR="00C41E94" w:rsidRPr="00996FAF" w:rsidRDefault="00C41E9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94943E" w14:textId="77777777" w:rsidR="00C41E94" w:rsidRPr="00996FAF" w:rsidRDefault="00C41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91DF0" w14:paraId="053D017D" w14:textId="77777777" w:rsidTr="00D91D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58F6A" w14:textId="77777777" w:rsidR="00C41E94" w:rsidRPr="00996FAF" w:rsidRDefault="00C41E9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0B8C95" w14:textId="77777777" w:rsidR="00C41E94" w:rsidRPr="00996FAF" w:rsidRDefault="00C41E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1CF703" w14:textId="77777777" w:rsidR="00C41E94" w:rsidRPr="00996FAF" w:rsidRDefault="001D10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3828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41E94" w:rsidRPr="00674A0C">
                  <w:rPr>
                    <w:rFonts w:ascii="Arial" w:hAnsi="Arial" w:cs="Arial"/>
                    <w:color w:val="auto"/>
                  </w:rPr>
                  <w:t>Compliant</w:t>
                </w:r>
              </w:sdtContent>
            </w:sdt>
          </w:p>
        </w:tc>
      </w:tr>
    </w:tbl>
    <w:p w14:paraId="222C7155" w14:textId="77777777" w:rsidR="00C41E94" w:rsidRDefault="00C41E94" w:rsidP="00D87E7C">
      <w:pPr>
        <w:pStyle w:val="Heading20"/>
      </w:pPr>
      <w:r w:rsidRPr="00996FAF">
        <w:t>Findings</w:t>
      </w:r>
    </w:p>
    <w:p w14:paraId="34F65297" w14:textId="6292FBDF" w:rsidR="00B835D7" w:rsidRPr="00B835D7" w:rsidRDefault="00571228" w:rsidP="00EB73CD">
      <w:pPr>
        <w:pStyle w:val="NormalArial"/>
        <w:rPr>
          <w:rFonts w:eastAsia="Times New Roman"/>
          <w:color w:val="000000"/>
          <w:lang w:eastAsia="en-AU"/>
        </w:rPr>
      </w:pPr>
      <w:r>
        <w:t xml:space="preserve">The assessment team recommended requirement (3)(b) not met as </w:t>
      </w:r>
      <w:r w:rsidR="00EB73CD">
        <w:t>h</w:t>
      </w:r>
      <w:r w:rsidR="00B835D7" w:rsidRPr="00B835D7">
        <w:rPr>
          <w:rFonts w:eastAsia="Times New Roman"/>
          <w:color w:val="000000"/>
          <w:lang w:eastAsia="en-AU"/>
        </w:rPr>
        <w:t>igh</w:t>
      </w:r>
      <w:r w:rsidR="00B835D7">
        <w:rPr>
          <w:rFonts w:eastAsia="Times New Roman"/>
          <w:color w:val="000000"/>
          <w:lang w:eastAsia="en-AU"/>
        </w:rPr>
        <w:t xml:space="preserve"> </w:t>
      </w:r>
      <w:r w:rsidR="00B835D7" w:rsidRPr="00B835D7">
        <w:rPr>
          <w:rFonts w:eastAsia="Times New Roman"/>
          <w:color w:val="000000"/>
          <w:lang w:eastAsia="en-AU"/>
        </w:rPr>
        <w:t xml:space="preserve">impact </w:t>
      </w:r>
      <w:r w:rsidR="00B835D7">
        <w:rPr>
          <w:rFonts w:eastAsia="Times New Roman"/>
          <w:color w:val="000000"/>
          <w:lang w:eastAsia="en-AU"/>
        </w:rPr>
        <w:t>or</w:t>
      </w:r>
      <w:r w:rsidR="00B835D7" w:rsidRPr="00B835D7">
        <w:rPr>
          <w:rFonts w:eastAsia="Times New Roman"/>
          <w:color w:val="000000"/>
          <w:lang w:eastAsia="en-AU"/>
        </w:rPr>
        <w:t xml:space="preserve"> high</w:t>
      </w:r>
      <w:r w:rsidR="00B835D7">
        <w:rPr>
          <w:rFonts w:eastAsia="Times New Roman"/>
          <w:color w:val="000000"/>
          <w:lang w:eastAsia="en-AU"/>
        </w:rPr>
        <w:t xml:space="preserve"> </w:t>
      </w:r>
      <w:r w:rsidR="00B835D7" w:rsidRPr="00B835D7">
        <w:rPr>
          <w:rFonts w:eastAsia="Times New Roman"/>
          <w:color w:val="000000"/>
          <w:lang w:eastAsia="en-AU"/>
        </w:rPr>
        <w:t>prevalence risks, specifically risks of choking due to swallowing difficulties</w:t>
      </w:r>
      <w:r w:rsidR="00EB73CD">
        <w:rPr>
          <w:rFonts w:eastAsia="Times New Roman"/>
          <w:color w:val="000000"/>
          <w:lang w:eastAsia="en-AU"/>
        </w:rPr>
        <w:t>, were not effectively managed for each consumer</w:t>
      </w:r>
      <w:r w:rsidR="00B835D7" w:rsidRPr="00B835D7">
        <w:rPr>
          <w:rFonts w:eastAsia="Times New Roman"/>
          <w:color w:val="000000"/>
          <w:lang w:eastAsia="en-AU"/>
        </w:rPr>
        <w:t>.</w:t>
      </w:r>
      <w:r w:rsidR="009B23AE">
        <w:rPr>
          <w:rFonts w:eastAsia="Times New Roman"/>
          <w:color w:val="000000"/>
          <w:lang w:eastAsia="en-AU"/>
        </w:rPr>
        <w:t xml:space="preserve"> The assessment team’s report highlighted three consumers. </w:t>
      </w:r>
    </w:p>
    <w:p w14:paraId="10338AC1" w14:textId="349CC360" w:rsidR="00B835D7" w:rsidRPr="00A11395" w:rsidRDefault="007D6535" w:rsidP="00A11395">
      <w:pPr>
        <w:pStyle w:val="NormalArial"/>
      </w:pPr>
      <w:r>
        <w:t>A consumer (</w:t>
      </w:r>
      <w:r w:rsidR="00676AE2">
        <w:t>C</w:t>
      </w:r>
      <w:r w:rsidR="004A075F" w:rsidRPr="007E0DEA">
        <w:t>onsumer</w:t>
      </w:r>
      <w:r w:rsidR="00676AE2">
        <w:t xml:space="preserve"> A</w:t>
      </w:r>
      <w:r>
        <w:t>)</w:t>
      </w:r>
      <w:r w:rsidR="00B835D7" w:rsidRPr="007E0DEA">
        <w:t xml:space="preserve"> was observed </w:t>
      </w:r>
      <w:r w:rsidR="006116CF" w:rsidRPr="007E0DEA">
        <w:t xml:space="preserve">to struggle </w:t>
      </w:r>
      <w:r w:rsidR="00B835D7" w:rsidRPr="007E0DEA">
        <w:t xml:space="preserve">with eating and swallowing which was not managed effectively to mitigate risks of choking/aspirating. </w:t>
      </w:r>
      <w:r w:rsidR="00544B86" w:rsidRPr="007E0DEA">
        <w:t>A</w:t>
      </w:r>
      <w:r w:rsidR="00B835D7" w:rsidRPr="007E0DEA">
        <w:t xml:space="preserve"> dysphagia screen used by </w:t>
      </w:r>
      <w:r w:rsidR="005C4E17" w:rsidRPr="007E0DEA">
        <w:t xml:space="preserve">staff </w:t>
      </w:r>
      <w:r w:rsidR="00B835D7" w:rsidRPr="007E0DEA">
        <w:t xml:space="preserve">to downgrade </w:t>
      </w:r>
      <w:r w:rsidR="004A075F" w:rsidRPr="007E0DEA">
        <w:t>the consumer’s</w:t>
      </w:r>
      <w:r w:rsidR="00B835D7" w:rsidRPr="007E0DEA">
        <w:t xml:space="preserve"> </w:t>
      </w:r>
      <w:r w:rsidR="00D32B2F">
        <w:t xml:space="preserve">diet modification level </w:t>
      </w:r>
      <w:r w:rsidR="00B835D7" w:rsidRPr="007E0DEA">
        <w:t xml:space="preserve">was not </w:t>
      </w:r>
      <w:r w:rsidR="00544B86" w:rsidRPr="007E0DEA">
        <w:t xml:space="preserve">accurately </w:t>
      </w:r>
      <w:r w:rsidR="00B835D7" w:rsidRPr="007E0DEA">
        <w:t xml:space="preserve">completed </w:t>
      </w:r>
      <w:r w:rsidR="00544B86" w:rsidRPr="007E0DEA">
        <w:t>or</w:t>
      </w:r>
      <w:r w:rsidR="00B835D7" w:rsidRPr="007E0DEA">
        <w:t xml:space="preserve"> followed up by the service in </w:t>
      </w:r>
      <w:r w:rsidR="00544B86" w:rsidRPr="007E0DEA">
        <w:t>line</w:t>
      </w:r>
      <w:r w:rsidR="00B835D7" w:rsidRPr="007E0DEA">
        <w:t xml:space="preserve"> with the organisation’s dysphagia pathway</w:t>
      </w:r>
      <w:r w:rsidR="00CC5F09" w:rsidRPr="007E0DEA">
        <w:t xml:space="preserve">, and </w:t>
      </w:r>
      <w:r w:rsidR="005C4E17" w:rsidRPr="007E0DEA">
        <w:t>the kitchen dietary list did not align with the consumer’s recorded abilities or the staff member’s recommended food texture</w:t>
      </w:r>
      <w:r w:rsidR="00B835D7" w:rsidRPr="007E0DEA">
        <w:t>.</w:t>
      </w:r>
      <w:r w:rsidR="004A075F" w:rsidRPr="007E0DEA">
        <w:t xml:space="preserve"> D</w:t>
      </w:r>
      <w:r w:rsidR="00B835D7" w:rsidRPr="007E0DEA">
        <w:t xml:space="preserve">ocumentation </w:t>
      </w:r>
      <w:r w:rsidR="004A075F" w:rsidRPr="007E0DEA">
        <w:t>shows the consumer</w:t>
      </w:r>
      <w:r w:rsidR="00B835D7" w:rsidRPr="007E0DEA">
        <w:t xml:space="preserve"> is at risk of aspiration/choking</w:t>
      </w:r>
      <w:r w:rsidR="004F078F">
        <w:t>, with the</w:t>
      </w:r>
      <w:r w:rsidR="004A075F" w:rsidRPr="007E0DEA">
        <w:t xml:space="preserve"> last speech pathologist review occurr</w:t>
      </w:r>
      <w:r w:rsidR="004F078F">
        <w:t>ing</w:t>
      </w:r>
      <w:r w:rsidR="004A075F" w:rsidRPr="007E0DEA">
        <w:t xml:space="preserve"> in 2022</w:t>
      </w:r>
      <w:r w:rsidR="00B835D7" w:rsidRPr="007E0DEA">
        <w:t xml:space="preserve">. </w:t>
      </w:r>
      <w:r w:rsidR="00B02578" w:rsidRPr="00B02578">
        <w:t xml:space="preserve">Management and clinical staff said they follow the dysphagia flowchart procedure for assessment of dysphagia which states registered nurses complete the dysphagia screen and can downgrade a consumer’s texture-modified food and thickened fluids, due to signs of dysphagia, without a referral to a speech pathologist. </w:t>
      </w:r>
      <w:r>
        <w:t>S</w:t>
      </w:r>
      <w:r w:rsidR="00B02578" w:rsidRPr="00B02578">
        <w:t>peech pathologist</w:t>
      </w:r>
      <w:r>
        <w:t>s</w:t>
      </w:r>
      <w:r w:rsidR="00B02578" w:rsidRPr="00B02578">
        <w:t xml:space="preserve"> only receive referrals when the service seeks to upgrade consumers to a less modified food or fluid. </w:t>
      </w:r>
      <w:bookmarkStart w:id="1" w:name="_Hlk166436624"/>
      <w:r w:rsidR="00B02578" w:rsidRPr="00B02578">
        <w:t xml:space="preserve">However, </w:t>
      </w:r>
      <w:r w:rsidR="00546B5D">
        <w:t>the consumer</w:t>
      </w:r>
      <w:r w:rsidR="00B02578" w:rsidRPr="00B02578">
        <w:t xml:space="preserve"> was not referred to a speech pathologist in line with the organisation’s dysphagia pathway and the dysphagia screening score</w:t>
      </w:r>
      <w:bookmarkEnd w:id="1"/>
      <w:r w:rsidR="00B02578" w:rsidRPr="00B02578">
        <w:t>.</w:t>
      </w:r>
      <w:r w:rsidR="002435A9">
        <w:t xml:space="preserve"> </w:t>
      </w:r>
    </w:p>
    <w:p w14:paraId="27F3F37E" w14:textId="5A7E77A8" w:rsidR="00B835D7" w:rsidRPr="002435A9" w:rsidRDefault="00B835D7" w:rsidP="002435A9">
      <w:pPr>
        <w:pStyle w:val="NormalArial"/>
      </w:pPr>
      <w:r w:rsidRPr="002435A9">
        <w:t xml:space="preserve">The dysphagia screen used </w:t>
      </w:r>
      <w:r w:rsidR="00683049" w:rsidRPr="002435A9">
        <w:t>by staff</w:t>
      </w:r>
      <w:r w:rsidRPr="002435A9">
        <w:t xml:space="preserve"> to downgrade </w:t>
      </w:r>
      <w:r w:rsidR="007D6535">
        <w:t>a consumer’s (</w:t>
      </w:r>
      <w:r w:rsidR="00A11395" w:rsidRPr="002435A9">
        <w:t>Consumer B</w:t>
      </w:r>
      <w:r w:rsidR="007D6535">
        <w:t>)</w:t>
      </w:r>
      <w:r w:rsidRPr="002435A9">
        <w:t xml:space="preserve"> diet </w:t>
      </w:r>
      <w:r w:rsidR="00D32B2F">
        <w:t xml:space="preserve">modification level </w:t>
      </w:r>
      <w:r w:rsidRPr="002435A9">
        <w:t xml:space="preserve">was not completed accurately </w:t>
      </w:r>
      <w:r w:rsidR="008F2D66" w:rsidRPr="002435A9">
        <w:t>or</w:t>
      </w:r>
      <w:r w:rsidRPr="002435A9">
        <w:t xml:space="preserve"> followed up by the service in </w:t>
      </w:r>
      <w:r w:rsidR="008F2D66" w:rsidRPr="002435A9">
        <w:t>line</w:t>
      </w:r>
      <w:r w:rsidRPr="002435A9">
        <w:t xml:space="preserve"> with the organisation’s dysphagia pathway. The consumer has predisposing factors for potential dysphagi</w:t>
      </w:r>
      <w:r w:rsidR="00683049" w:rsidRPr="002435A9">
        <w:t>a</w:t>
      </w:r>
      <w:r w:rsidRPr="002435A9">
        <w:t>.</w:t>
      </w:r>
      <w:r w:rsidR="006138EE" w:rsidRPr="002435A9">
        <w:t xml:space="preserve"> </w:t>
      </w:r>
      <w:r w:rsidR="00683049" w:rsidRPr="002435A9">
        <w:t>Two</w:t>
      </w:r>
      <w:r w:rsidRPr="002435A9">
        <w:t xml:space="preserve"> dysphagia screens </w:t>
      </w:r>
      <w:r w:rsidR="00A11395" w:rsidRPr="002435A9">
        <w:t xml:space="preserve">completed by staff </w:t>
      </w:r>
      <w:r w:rsidRPr="002435A9">
        <w:t xml:space="preserve">indicated </w:t>
      </w:r>
      <w:r w:rsidR="007C20A6" w:rsidRPr="002435A9">
        <w:t>the consumer</w:t>
      </w:r>
      <w:r w:rsidRPr="002435A9">
        <w:t xml:space="preserve"> required a soft diet, however, there is no soft diet consistency in </w:t>
      </w:r>
      <w:r w:rsidR="00C30978" w:rsidRPr="002435A9">
        <w:t xml:space="preserve">the organisation’s implemented framework, </w:t>
      </w:r>
      <w:r w:rsidR="00E707FE">
        <w:t xml:space="preserve">the </w:t>
      </w:r>
      <w:r w:rsidR="00C30978" w:rsidRPr="002435A9">
        <w:t>international dysphagia diet standardised initiative (</w:t>
      </w:r>
      <w:r w:rsidRPr="002435A9">
        <w:t>IDDSI</w:t>
      </w:r>
      <w:r w:rsidR="00C30978" w:rsidRPr="002435A9">
        <w:t>)</w:t>
      </w:r>
      <w:r w:rsidRPr="002435A9">
        <w:t xml:space="preserve">. </w:t>
      </w:r>
      <w:r w:rsidR="007C20A6" w:rsidRPr="002435A9">
        <w:t>T</w:t>
      </w:r>
      <w:r w:rsidRPr="002435A9">
        <w:t>he IDDSI framework is not referred to in the dysphagia screen</w:t>
      </w:r>
      <w:r w:rsidR="007C20A6" w:rsidRPr="002435A9">
        <w:t>,</w:t>
      </w:r>
      <w:r w:rsidRPr="002435A9">
        <w:t xml:space="preserve"> therefore</w:t>
      </w:r>
      <w:r w:rsidR="00C30978" w:rsidRPr="002435A9">
        <w:t>,</w:t>
      </w:r>
      <w:r w:rsidRPr="002435A9">
        <w:t xml:space="preserve"> it is not clear what this consistency should be. The initial dysphagia screen was undertaken </w:t>
      </w:r>
      <w:r w:rsidR="007C20A6" w:rsidRPr="002435A9">
        <w:t>in</w:t>
      </w:r>
      <w:r w:rsidRPr="002435A9">
        <w:t xml:space="preserve"> January 2024 and an IDDSI level 6 diet was recommended, however, this was not updated in progress notes and family were not informed until </w:t>
      </w:r>
      <w:r w:rsidR="00E15B91" w:rsidRPr="002435A9">
        <w:t>a week later</w:t>
      </w:r>
      <w:r w:rsidRPr="002435A9">
        <w:t>.</w:t>
      </w:r>
      <w:r w:rsidR="006138EE" w:rsidRPr="002435A9">
        <w:t xml:space="preserve"> </w:t>
      </w:r>
      <w:r w:rsidRPr="002435A9">
        <w:t xml:space="preserve">A further dysphagia screen </w:t>
      </w:r>
      <w:r w:rsidR="00E15B91" w:rsidRPr="002435A9">
        <w:t>in</w:t>
      </w:r>
      <w:r w:rsidRPr="002435A9">
        <w:t xml:space="preserve"> May 2024 </w:t>
      </w:r>
      <w:r w:rsidR="00E15B91" w:rsidRPr="002435A9">
        <w:t xml:space="preserve">recommended </w:t>
      </w:r>
      <w:r w:rsidR="006138EE" w:rsidRPr="002435A9">
        <w:t>a</w:t>
      </w:r>
      <w:r w:rsidR="00E15B91" w:rsidRPr="002435A9">
        <w:t xml:space="preserve"> diet </w:t>
      </w:r>
      <w:r w:rsidRPr="002435A9">
        <w:t xml:space="preserve">downgrade to an IDDSI level 5 minced moist diet. However, kitchen handover sheets had not been updated and </w:t>
      </w:r>
      <w:r w:rsidR="006138EE" w:rsidRPr="002435A9">
        <w:t>the consumer</w:t>
      </w:r>
      <w:r w:rsidRPr="002435A9">
        <w:t xml:space="preserve"> was still being </w:t>
      </w:r>
      <w:r w:rsidR="00D32B2F">
        <w:t>provided with</w:t>
      </w:r>
      <w:r w:rsidRPr="002435A9">
        <w:t xml:space="preserve"> an IDDSI level 6 diet</w:t>
      </w:r>
      <w:r w:rsidR="006138EE" w:rsidRPr="002435A9">
        <w:t>, which was confirmed by staff</w:t>
      </w:r>
      <w:r w:rsidRPr="002435A9">
        <w:t xml:space="preserve">. Despite the outcomes of the two dysphagia screens, </w:t>
      </w:r>
      <w:r w:rsidR="006138EE" w:rsidRPr="002435A9">
        <w:t>the consumer was not referred to a speech pathologist in line with the o</w:t>
      </w:r>
      <w:r w:rsidRPr="002435A9">
        <w:t xml:space="preserve">rganisation’s dysphagia pathway and determined dysphagia screening scores. </w:t>
      </w:r>
    </w:p>
    <w:p w14:paraId="723A9359" w14:textId="314654E8" w:rsidR="00B835D7" w:rsidRPr="00D32901" w:rsidRDefault="00F4339F" w:rsidP="00D32901">
      <w:pPr>
        <w:pStyle w:val="NormalArial"/>
      </w:pPr>
      <w:r w:rsidRPr="00D32901">
        <w:t>A consumer</w:t>
      </w:r>
      <w:r w:rsidR="00E15B91" w:rsidRPr="00D32901">
        <w:t xml:space="preserve"> (Consumer C)</w:t>
      </w:r>
      <w:r w:rsidR="00B835D7" w:rsidRPr="00D32901">
        <w:t xml:space="preserve"> was assessed in January 2024 by </w:t>
      </w:r>
      <w:r w:rsidR="00E15B91" w:rsidRPr="00D32901">
        <w:t>a speech pathologist</w:t>
      </w:r>
      <w:r w:rsidR="00B835D7" w:rsidRPr="00D32901">
        <w:t xml:space="preserve"> as </w:t>
      </w:r>
      <w:r w:rsidR="00AF201A" w:rsidRPr="00D32901">
        <w:t>they</w:t>
      </w:r>
      <w:r w:rsidR="00B835D7" w:rsidRPr="00D32901">
        <w:t xml:space="preserve"> wanted to consume</w:t>
      </w:r>
      <w:r w:rsidRPr="00D32901">
        <w:t xml:space="preserve"> </w:t>
      </w:r>
      <w:r w:rsidR="0034114D" w:rsidRPr="00D32901">
        <w:t xml:space="preserve">a different diet consistency to the one they had been receiving. </w:t>
      </w:r>
      <w:r w:rsidR="00B835D7" w:rsidRPr="00D32901">
        <w:t xml:space="preserve">The </w:t>
      </w:r>
      <w:r w:rsidR="0034114D" w:rsidRPr="00D32901">
        <w:t>speech pathologist</w:t>
      </w:r>
      <w:r w:rsidR="00B835D7" w:rsidRPr="00D32901">
        <w:t xml:space="preserve"> advised safe swallow strategies were to be used </w:t>
      </w:r>
      <w:r w:rsidR="00C01397" w:rsidRPr="00D32901">
        <w:t>and the</w:t>
      </w:r>
      <w:r w:rsidR="00B835D7" w:rsidRPr="00D32901">
        <w:t xml:space="preserve"> </w:t>
      </w:r>
      <w:r w:rsidR="0034114D" w:rsidRPr="00D32901">
        <w:t xml:space="preserve">consumer’s </w:t>
      </w:r>
      <w:r w:rsidR="00B835D7" w:rsidRPr="00D32901">
        <w:t xml:space="preserve">preference was for supervision throughout the meal for safe swallowing. </w:t>
      </w:r>
      <w:r w:rsidR="00D32901">
        <w:t>While a</w:t>
      </w:r>
      <w:r w:rsidR="00C64F22" w:rsidRPr="00D32901">
        <w:t xml:space="preserve"> </w:t>
      </w:r>
      <w:r w:rsidR="00B835D7" w:rsidRPr="00D32901">
        <w:t xml:space="preserve">dignity of risk form </w:t>
      </w:r>
      <w:r w:rsidR="000C55A2" w:rsidRPr="00D32901">
        <w:t xml:space="preserve">was </w:t>
      </w:r>
      <w:r w:rsidR="00B835D7" w:rsidRPr="00D32901">
        <w:t xml:space="preserve">co-signed by </w:t>
      </w:r>
      <w:r w:rsidR="00760438">
        <w:t xml:space="preserve">the representative, </w:t>
      </w:r>
      <w:r w:rsidR="00B835D7" w:rsidRPr="00D32901">
        <w:t xml:space="preserve">management and the </w:t>
      </w:r>
      <w:r w:rsidR="00C64F22" w:rsidRPr="00D32901">
        <w:t xml:space="preserve">general practitioner, </w:t>
      </w:r>
      <w:r w:rsidR="00BB3D9C" w:rsidRPr="00D32901">
        <w:t xml:space="preserve">the speech pathologist was </w:t>
      </w:r>
      <w:r w:rsidR="00B835D7" w:rsidRPr="00D32901">
        <w:t xml:space="preserve">not involved in the process. </w:t>
      </w:r>
      <w:r w:rsidR="00D32901">
        <w:t>T</w:t>
      </w:r>
      <w:r w:rsidR="00B835D7" w:rsidRPr="00D32901">
        <w:t xml:space="preserve">he dignity of risk form </w:t>
      </w:r>
      <w:r w:rsidR="00BB3D9C" w:rsidRPr="00D32901">
        <w:t>includes</w:t>
      </w:r>
      <w:r w:rsidR="00B835D7" w:rsidRPr="00D32901">
        <w:t xml:space="preserve"> potential outcomes</w:t>
      </w:r>
      <w:r w:rsidR="00BB3D9C" w:rsidRPr="00D32901">
        <w:t xml:space="preserve">, </w:t>
      </w:r>
      <w:r w:rsidR="00D32901">
        <w:t xml:space="preserve">but </w:t>
      </w:r>
      <w:r w:rsidR="00B835D7" w:rsidRPr="00D32901">
        <w:t xml:space="preserve">no risk mitigation factors </w:t>
      </w:r>
      <w:r w:rsidR="00866D12" w:rsidRPr="00D32901">
        <w:t>have been</w:t>
      </w:r>
      <w:r w:rsidR="00B835D7" w:rsidRPr="00D32901">
        <w:t xml:space="preserve"> put in place to minimise the risk to </w:t>
      </w:r>
      <w:r w:rsidR="00866D12" w:rsidRPr="00D32901">
        <w:t>the consumer</w:t>
      </w:r>
      <w:r w:rsidR="00B835D7" w:rsidRPr="00D32901">
        <w:t xml:space="preserve"> other than </w:t>
      </w:r>
      <w:r w:rsidR="00866D12" w:rsidRPr="00D32901">
        <w:t>they</w:t>
      </w:r>
      <w:r w:rsidR="00B835D7" w:rsidRPr="00D32901">
        <w:t xml:space="preserve"> should be monitored while eating and drinking. </w:t>
      </w:r>
      <w:r w:rsidR="00866D12" w:rsidRPr="00D32901">
        <w:t>The consumer</w:t>
      </w:r>
      <w:r w:rsidR="00B835D7" w:rsidRPr="00D32901">
        <w:t xml:space="preserve"> </w:t>
      </w:r>
      <w:r w:rsidR="007D6535">
        <w:t>was</w:t>
      </w:r>
      <w:r w:rsidR="00D32901">
        <w:t xml:space="preserve"> observed </w:t>
      </w:r>
      <w:r w:rsidR="00B835D7" w:rsidRPr="00D32901">
        <w:t xml:space="preserve">eating alone in </w:t>
      </w:r>
      <w:r w:rsidR="00866D12" w:rsidRPr="00D32901">
        <w:t>their</w:t>
      </w:r>
      <w:r w:rsidR="00B835D7" w:rsidRPr="00D32901">
        <w:t xml:space="preserve"> room</w:t>
      </w:r>
      <w:r w:rsidR="00866D12" w:rsidRPr="00D32901">
        <w:t xml:space="preserve"> with the door close</w:t>
      </w:r>
      <w:r w:rsidR="00F1580A" w:rsidRPr="00D32901">
        <w:t>d,</w:t>
      </w:r>
      <w:r w:rsidR="00B835D7" w:rsidRPr="00D32901">
        <w:t xml:space="preserve"> with no supervision. </w:t>
      </w:r>
      <w:r w:rsidR="00F1580A" w:rsidRPr="00D32901">
        <w:t>The consumer said they</w:t>
      </w:r>
      <w:r w:rsidR="00B835D7" w:rsidRPr="00D32901">
        <w:t xml:space="preserve"> requested </w:t>
      </w:r>
      <w:r w:rsidR="00F1580A" w:rsidRPr="00D32901">
        <w:t>the</w:t>
      </w:r>
      <w:r w:rsidR="00B835D7" w:rsidRPr="00D32901">
        <w:t xml:space="preserve"> call bell be placed across </w:t>
      </w:r>
      <w:r w:rsidR="00F1580A" w:rsidRPr="00D32901">
        <w:t>their</w:t>
      </w:r>
      <w:r w:rsidR="00B835D7" w:rsidRPr="00D32901">
        <w:t xml:space="preserve"> lap </w:t>
      </w:r>
      <w:r w:rsidR="00D32901">
        <w:t>to</w:t>
      </w:r>
      <w:r w:rsidR="00B835D7" w:rsidRPr="00D32901">
        <w:t xml:space="preserve"> alert staff if </w:t>
      </w:r>
      <w:r w:rsidR="00F1580A" w:rsidRPr="00D32901">
        <w:t>they have</w:t>
      </w:r>
      <w:r w:rsidR="00B835D7" w:rsidRPr="00D32901">
        <w:t xml:space="preserve"> difficulties eating, and said there </w:t>
      </w:r>
      <w:r w:rsidR="00D32901">
        <w:t xml:space="preserve">have </w:t>
      </w:r>
      <w:r w:rsidR="00D32901">
        <w:lastRenderedPageBreak/>
        <w:t>been</w:t>
      </w:r>
      <w:r w:rsidR="00B835D7" w:rsidRPr="00D32901">
        <w:t xml:space="preserve"> a number of occasions where the bell ha</w:t>
      </w:r>
      <w:r w:rsidR="00D32901">
        <w:t>s</w:t>
      </w:r>
      <w:r w:rsidR="00B835D7" w:rsidRPr="00D32901">
        <w:t xml:space="preserve"> not been placed on </w:t>
      </w:r>
      <w:r w:rsidR="00F1580A" w:rsidRPr="00D32901">
        <w:t>their</w:t>
      </w:r>
      <w:r w:rsidR="00B835D7" w:rsidRPr="00D32901">
        <w:t xml:space="preserve"> lap and </w:t>
      </w:r>
      <w:r w:rsidR="00F1580A" w:rsidRPr="00D32901">
        <w:t>they</w:t>
      </w:r>
      <w:r w:rsidR="00B835D7" w:rsidRPr="00D32901">
        <w:t xml:space="preserve"> ha</w:t>
      </w:r>
      <w:r w:rsidR="00D32901">
        <w:t>ve</w:t>
      </w:r>
      <w:r w:rsidR="00B835D7" w:rsidRPr="00D32901">
        <w:t xml:space="preserve"> felt panicked.</w:t>
      </w:r>
      <w:r w:rsidR="00191557">
        <w:t xml:space="preserve"> In response to the deficits identified, management issued a continuous improvement action relating to involvement of a speech pathologist in the discussion of mitigating risks with the consumer. </w:t>
      </w:r>
      <w:r w:rsidR="00B835D7" w:rsidRPr="00D32901">
        <w:t xml:space="preserve"> </w:t>
      </w:r>
    </w:p>
    <w:p w14:paraId="6687CC42" w14:textId="1DA9B21F" w:rsidR="00B835D7" w:rsidRPr="009335C8" w:rsidRDefault="00847C70" w:rsidP="009335C8">
      <w:pPr>
        <w:pStyle w:val="NormalArial"/>
      </w:pPr>
      <w:r w:rsidRPr="009335C8">
        <w:t xml:space="preserve">The assessment team also identified </w:t>
      </w:r>
      <w:r w:rsidR="00B835D7" w:rsidRPr="009335C8">
        <w:t xml:space="preserve">dietary forms </w:t>
      </w:r>
      <w:r w:rsidRPr="009335C8">
        <w:t xml:space="preserve">for at least four consumers </w:t>
      </w:r>
      <w:r w:rsidR="00B835D7" w:rsidRPr="009335C8">
        <w:t>did not have food texture level information recorded</w:t>
      </w:r>
      <w:r w:rsidR="00A45CA4" w:rsidRPr="009335C8">
        <w:t xml:space="preserve"> which was found to result from an issue with </w:t>
      </w:r>
      <w:r w:rsidR="009335C8" w:rsidRPr="009335C8">
        <w:t xml:space="preserve">the </w:t>
      </w:r>
      <w:r w:rsidR="00B835D7" w:rsidRPr="009335C8">
        <w:t xml:space="preserve">electronic assessment. </w:t>
      </w:r>
      <w:r w:rsidRPr="009335C8">
        <w:t>While</w:t>
      </w:r>
      <w:r w:rsidR="00B835D7" w:rsidRPr="009335C8">
        <w:t xml:space="preserve"> training records show staff attend regular texture-modified food and fluids (dysphagia) training</w:t>
      </w:r>
      <w:r w:rsidRPr="009335C8">
        <w:t>, staff in one area of the service could not accurately explain IDDSI levels</w:t>
      </w:r>
      <w:r w:rsidR="009335C8" w:rsidRPr="009335C8">
        <w:t xml:space="preserve">. </w:t>
      </w:r>
      <w:r w:rsidR="00B835D7" w:rsidRPr="009335C8">
        <w:t xml:space="preserve">Dry sponge cake was served to consumers on IDDSI level 6 diets which </w:t>
      </w:r>
      <w:r w:rsidR="007D6535">
        <w:t>i</w:t>
      </w:r>
      <w:r w:rsidR="00B835D7" w:rsidRPr="009335C8">
        <w:t>s not in line with the requirements</w:t>
      </w:r>
      <w:r w:rsidR="009335C8" w:rsidRPr="009335C8">
        <w:t>; t</w:t>
      </w:r>
      <w:r w:rsidR="00B835D7" w:rsidRPr="009335C8">
        <w:t xml:space="preserve">hickened fluids were not </w:t>
      </w:r>
      <w:r w:rsidR="009335C8" w:rsidRPr="009335C8">
        <w:t>consistently</w:t>
      </w:r>
      <w:r w:rsidR="00B835D7" w:rsidRPr="009335C8">
        <w:t xml:space="preserve"> prepared to IDDSI requirements</w:t>
      </w:r>
      <w:r w:rsidR="009335C8" w:rsidRPr="009335C8">
        <w:t>; and</w:t>
      </w:r>
      <w:r w:rsidR="00B835D7" w:rsidRPr="009335C8">
        <w:t xml:space="preserve"> gravy was not thickened to the levels required by IDDSI requirements for consumers on thickened fluids.</w:t>
      </w:r>
      <w:r w:rsidR="009335C8" w:rsidRPr="009335C8">
        <w:t xml:space="preserve"> In response, m</w:t>
      </w:r>
      <w:r w:rsidR="00B835D7" w:rsidRPr="009335C8">
        <w:t xml:space="preserve">anagement issued a continuous improvement action to review the service’s practices and to provide additional education to kitchen and care staff. </w:t>
      </w:r>
    </w:p>
    <w:p w14:paraId="381E95D9" w14:textId="77777777" w:rsidR="007B510D" w:rsidRDefault="000124C3" w:rsidP="009925BB">
      <w:pPr>
        <w:pStyle w:val="NormalArial"/>
      </w:pPr>
      <w:r>
        <w:t xml:space="preserve">I acknowledge the </w:t>
      </w:r>
      <w:r w:rsidR="00C26311">
        <w:t xml:space="preserve">evidence brought forward by the assessment team. However, I have come to a different finding to the assessment team’s recommendation of not met and find this requirement compliant. In coming to my finding, I have placed weight on </w:t>
      </w:r>
      <w:r w:rsidR="009925BB">
        <w:t xml:space="preserve">the provider’s </w:t>
      </w:r>
      <w:r w:rsidR="00FC1CFE">
        <w:t xml:space="preserve">comprehensive </w:t>
      </w:r>
      <w:r w:rsidR="009925BB">
        <w:t>response to the assessment team’s report.</w:t>
      </w:r>
      <w:r w:rsidR="009925BB" w:rsidRPr="009925BB">
        <w:t xml:space="preserve"> </w:t>
      </w:r>
      <w:r w:rsidR="009925BB">
        <w:t xml:space="preserve">The provider did not agree with all aspects of the assessment team’s report and included commentary </w:t>
      </w:r>
      <w:r w:rsidR="00AA5C64">
        <w:t>in their response which directly relates</w:t>
      </w:r>
      <w:r w:rsidR="009925BB">
        <w:t xml:space="preserve"> to the deficits identified, as well as supporting documentation.</w:t>
      </w:r>
      <w:r w:rsidR="00D56804">
        <w:t xml:space="preserve"> </w:t>
      </w:r>
    </w:p>
    <w:p w14:paraId="18BA3D1C" w14:textId="63E92F24" w:rsidR="009235D1" w:rsidRDefault="00B36959" w:rsidP="0036130C">
      <w:pPr>
        <w:pStyle w:val="NormalArial"/>
      </w:pPr>
      <w:r>
        <w:t>In relation to Consumer A, the provider’s response indicates the registered nur</w:t>
      </w:r>
      <w:r w:rsidR="004A1F72">
        <w:t>se supervising meal service</w:t>
      </w:r>
      <w:r w:rsidR="009957E3">
        <w:t xml:space="preserve"> was attending to another consumer. The registered nurse stated at no time was </w:t>
      </w:r>
      <w:r w:rsidR="00200C55">
        <w:t>the consumer</w:t>
      </w:r>
      <w:r w:rsidR="00916892">
        <w:t xml:space="preserve"> choking and care staff were supervising and attending to the consumer when they regurgitated their food. </w:t>
      </w:r>
      <w:r w:rsidR="002D275D" w:rsidRPr="00A11395">
        <w:t>In response to the assessment team’s findings</w:t>
      </w:r>
      <w:r w:rsidR="002D275D">
        <w:t xml:space="preserve"> on the day of the assessment contact</w:t>
      </w:r>
      <w:r w:rsidR="002D275D" w:rsidRPr="00A11395">
        <w:t>, management issued a number of continuous improvement actions, including education and monitoring to all registered nurses required to supervise the dining rooms, and completion of a serious incident response scheme (SIRS) report under the category of neglect.</w:t>
      </w:r>
      <w:r w:rsidR="00AF6221">
        <w:t xml:space="preserve"> </w:t>
      </w:r>
      <w:r w:rsidR="00400F92">
        <w:t xml:space="preserve">The provider acknowledges </w:t>
      </w:r>
      <w:r w:rsidR="00200C55">
        <w:t xml:space="preserve">the consumer </w:t>
      </w:r>
      <w:r w:rsidR="00400F92">
        <w:t xml:space="preserve">was not referred to a speech pathologist </w:t>
      </w:r>
      <w:r w:rsidR="00C57750">
        <w:t xml:space="preserve">in line with the </w:t>
      </w:r>
      <w:r w:rsidR="00CE3414">
        <w:t>organisation’s</w:t>
      </w:r>
      <w:r w:rsidR="00C57750">
        <w:t xml:space="preserve"> process when their diet consistency was downgraded</w:t>
      </w:r>
      <w:r w:rsidR="009903AE">
        <w:t xml:space="preserve"> and the provider’s response include</w:t>
      </w:r>
      <w:r w:rsidR="00AF6221">
        <w:t>s</w:t>
      </w:r>
      <w:r w:rsidR="009903AE">
        <w:t xml:space="preserve"> evidence demonstrating this</w:t>
      </w:r>
      <w:r w:rsidR="00A901B9">
        <w:t xml:space="preserve"> issu</w:t>
      </w:r>
      <w:r w:rsidR="00A57B19">
        <w:t>e</w:t>
      </w:r>
      <w:r w:rsidR="005C4244">
        <w:t>, as well as failing to escalate the consumer’s decline in ability to chew,</w:t>
      </w:r>
      <w:r w:rsidR="009903AE">
        <w:t xml:space="preserve"> is currently being addressed with the </w:t>
      </w:r>
      <w:r w:rsidR="00CE3414">
        <w:t>staff member</w:t>
      </w:r>
      <w:r w:rsidR="00B77037">
        <w:t xml:space="preserve"> involved</w:t>
      </w:r>
      <w:r w:rsidR="00CE3414">
        <w:t>.</w:t>
      </w:r>
      <w:r w:rsidR="00187CE8">
        <w:t xml:space="preserve"> </w:t>
      </w:r>
      <w:r w:rsidR="003E1152">
        <w:t xml:space="preserve">Additionally, the provider </w:t>
      </w:r>
      <w:r w:rsidR="001166BB">
        <w:t xml:space="preserve">acknowledges </w:t>
      </w:r>
      <w:r w:rsidR="00B40267">
        <w:t>registered nurses</w:t>
      </w:r>
      <w:r w:rsidR="001166BB">
        <w:t xml:space="preserve"> did not follow the dysphagia flowchart, and in response, education has been provided to </w:t>
      </w:r>
      <w:r w:rsidR="001A6DBC">
        <w:t>registered nurses.</w:t>
      </w:r>
      <w:r w:rsidR="001166BB">
        <w:t xml:space="preserve"> </w:t>
      </w:r>
      <w:r w:rsidR="00187307">
        <w:t xml:space="preserve">Subsequent to the assessment contact, the consumer has been reviewed by the speech pathologist with the diet consistency </w:t>
      </w:r>
      <w:r w:rsidR="00016616">
        <w:t>remaining unchanged.</w:t>
      </w:r>
      <w:r w:rsidR="008C0FEA">
        <w:t xml:space="preserve"> The consumer’s representative has been notified of the review. </w:t>
      </w:r>
      <w:r w:rsidR="003E1152">
        <w:t xml:space="preserve"> </w:t>
      </w:r>
    </w:p>
    <w:p w14:paraId="603054F7" w14:textId="3ADFD480" w:rsidR="009235D1" w:rsidRDefault="005112DD" w:rsidP="0036130C">
      <w:pPr>
        <w:pStyle w:val="NormalArial"/>
      </w:pPr>
      <w:r>
        <w:t xml:space="preserve">Subsequent to the assessment contact, Consumer B has been referred to a speech pathologist, with </w:t>
      </w:r>
      <w:r w:rsidR="00D338AE">
        <w:t>a</w:t>
      </w:r>
      <w:r>
        <w:t xml:space="preserve"> review pending</w:t>
      </w:r>
      <w:r w:rsidR="00D338AE">
        <w:t xml:space="preserve">, and </w:t>
      </w:r>
      <w:r w:rsidR="007D6535">
        <w:t xml:space="preserve">the provider </w:t>
      </w:r>
      <w:r w:rsidR="00D338AE">
        <w:t>notes the consumer has not experienced any choking episodes.</w:t>
      </w:r>
      <w:r>
        <w:t xml:space="preserve"> </w:t>
      </w:r>
      <w:r w:rsidR="00DA3655">
        <w:t xml:space="preserve">The provider acknowledges that in response to the dysphagia screen findings, the registered nurse did not escalate their </w:t>
      </w:r>
      <w:r w:rsidR="00301953">
        <w:t>findings</w:t>
      </w:r>
      <w:r w:rsidR="00DA3655">
        <w:t xml:space="preserve"> or </w:t>
      </w:r>
      <w:r w:rsidR="00301953">
        <w:t>refer this to clinical management</w:t>
      </w:r>
      <w:r w:rsidR="003321C5">
        <w:t>, and t</w:t>
      </w:r>
      <w:r w:rsidR="00C37C82">
        <w:t>his is currently being addressed with the staff member involved</w:t>
      </w:r>
      <w:r w:rsidR="00301953">
        <w:t xml:space="preserve">. </w:t>
      </w:r>
      <w:r w:rsidR="00743C2D">
        <w:t>Subsequent to the assessment contact, t</w:t>
      </w:r>
      <w:r w:rsidR="00301953">
        <w:t>he provider</w:t>
      </w:r>
      <w:r w:rsidR="00743C2D">
        <w:t xml:space="preserve"> has submitted </w:t>
      </w:r>
      <w:r w:rsidR="00301953">
        <w:t xml:space="preserve">a SIRS report </w:t>
      </w:r>
      <w:r w:rsidR="00743C2D">
        <w:t>in response.</w:t>
      </w:r>
      <w:r w:rsidR="00D41B7D" w:rsidRPr="00D41B7D">
        <w:t xml:space="preserve"> </w:t>
      </w:r>
      <w:r w:rsidR="00E7382B">
        <w:t>T</w:t>
      </w:r>
      <w:r w:rsidR="00D41B7D">
        <w:t>he speech pathologist has presented training and education to staff on IDDSI and dysphagia, with toolbox sessions on these topics being delivered by clinical management to staff on an ongoing basis during the handover process.</w:t>
      </w:r>
      <w:r w:rsidR="00E7382B">
        <w:t xml:space="preserve"> </w:t>
      </w:r>
      <w:r w:rsidR="00901816">
        <w:t>A review of consumers on textured modified diets has been completed</w:t>
      </w:r>
      <w:r w:rsidR="00F544C5">
        <w:t xml:space="preserve"> </w:t>
      </w:r>
      <w:r w:rsidR="009D20A7">
        <w:t>against meal order forms to ensure all dietary levels are detailed on the care plan</w:t>
      </w:r>
      <w:r w:rsidR="00D0152A">
        <w:t>, and education has been provided to staff in relation to accurate documentation.</w:t>
      </w:r>
      <w:r w:rsidR="00901816">
        <w:t xml:space="preserve"> </w:t>
      </w:r>
      <w:r w:rsidR="00344709">
        <w:t xml:space="preserve"> </w:t>
      </w:r>
      <w:r w:rsidR="00D41B7D">
        <w:t xml:space="preserve"> </w:t>
      </w:r>
      <w:r w:rsidR="00743C2D">
        <w:t xml:space="preserve"> </w:t>
      </w:r>
    </w:p>
    <w:p w14:paraId="279823D2" w14:textId="37E7F723" w:rsidR="00FB09CA" w:rsidRDefault="00E61FD6" w:rsidP="0036130C">
      <w:pPr>
        <w:pStyle w:val="NormalArial"/>
      </w:pPr>
      <w:r>
        <w:t>In relation to Consumer C,</w:t>
      </w:r>
      <w:r w:rsidR="00FB09CA">
        <w:t xml:space="preserve"> </w:t>
      </w:r>
      <w:r w:rsidR="006B5617">
        <w:t xml:space="preserve">progress notes included in the provider’s response show </w:t>
      </w:r>
      <w:r w:rsidR="008B1971">
        <w:t xml:space="preserve">a comprehensive assessment of the consumer was undertaken by the speech pathologist, </w:t>
      </w:r>
      <w:r w:rsidR="008B1971">
        <w:lastRenderedPageBreak/>
        <w:t xml:space="preserve">recognising the consumer’s </w:t>
      </w:r>
      <w:r w:rsidR="00BA2947">
        <w:t xml:space="preserve">request to consume a different diet consistency which would potentially place them at risk. </w:t>
      </w:r>
      <w:r w:rsidR="00B957A3">
        <w:t>This risk is outlined in the</w:t>
      </w:r>
      <w:r w:rsidR="00B11624">
        <w:t xml:space="preserve"> speech pathologist’s</w:t>
      </w:r>
      <w:r w:rsidR="00B957A3">
        <w:t xml:space="preserve"> progress notes, noting </w:t>
      </w:r>
      <w:r w:rsidR="00F67540">
        <w:t>a risk form will need to be completed for the desired diet consistency</w:t>
      </w:r>
      <w:r w:rsidR="005310AA">
        <w:t xml:space="preserve">. This demonstrates </w:t>
      </w:r>
      <w:r w:rsidR="002275E1">
        <w:t xml:space="preserve">that while the speech pathologist did not </w:t>
      </w:r>
      <w:r w:rsidR="00213AEA">
        <w:t>sign the dignity of risk form, they had been engaged to assess the consumer and their input and expertise was sought</w:t>
      </w:r>
      <w:r w:rsidR="00F67540">
        <w:t xml:space="preserve">. </w:t>
      </w:r>
      <w:r w:rsidR="002E4173">
        <w:t>I do, however, note that strategies</w:t>
      </w:r>
      <w:r w:rsidR="00DF2995">
        <w:t xml:space="preserve"> to mitigate the risk</w:t>
      </w:r>
      <w:r w:rsidR="002E4173">
        <w:t xml:space="preserve"> are not included on the dignity of risk form, and the provider’s response indicates this form is currently under review by the speech pathologist. </w:t>
      </w:r>
      <w:r w:rsidR="008320E9">
        <w:t xml:space="preserve">I also note that recommendations made by the speech pathologist to ensure the consumer’s safety during meal time </w:t>
      </w:r>
      <w:r w:rsidR="00FF514C">
        <w:t>activities</w:t>
      </w:r>
      <w:r w:rsidR="008320E9">
        <w:t xml:space="preserve"> are directly quoted on the </w:t>
      </w:r>
      <w:r w:rsidR="00FF514C">
        <w:t xml:space="preserve">related care plan used by staff to guide delivery of care. </w:t>
      </w:r>
      <w:r w:rsidR="006B7473">
        <w:t xml:space="preserve">While I </w:t>
      </w:r>
      <w:r w:rsidR="00EA3B85">
        <w:t>agree</w:t>
      </w:r>
      <w:r w:rsidR="00F63E13">
        <w:t xml:space="preserve"> the consumer was not sufficiently supervised during</w:t>
      </w:r>
      <w:r w:rsidR="006B7473">
        <w:t xml:space="preserve"> meal time on the day of assessment contact, there is no further evidence to suggest that this </w:t>
      </w:r>
      <w:r w:rsidR="00B6337D">
        <w:t xml:space="preserve">occurs regularly or that there have been any related incidents as a result. </w:t>
      </w:r>
      <w:r w:rsidR="006F6D53">
        <w:t>The provider has implemented a chart to ensure the consumer has their call bell at meal times.</w:t>
      </w:r>
      <w:r w:rsidR="005310AA">
        <w:t xml:space="preserve"> </w:t>
      </w:r>
    </w:p>
    <w:p w14:paraId="5B6681E8" w14:textId="4861AAFA" w:rsidR="00EA3B85" w:rsidRDefault="00EA3B85" w:rsidP="00EA3B85">
      <w:pPr>
        <w:pStyle w:val="NormalArial"/>
      </w:pPr>
      <w:r>
        <w:t xml:space="preserve">The </w:t>
      </w:r>
      <w:r w:rsidR="00374940">
        <w:t xml:space="preserve">provider’s </w:t>
      </w:r>
      <w:r>
        <w:t>response also outlines actions taken subsequent to the assessment contact to address some of the deficits identified, including undertaking a full review of all consumers with swallowing deficits and/or receiving a textured modified diet, with consumers referred to speech pathology for further assessment, where identified; creation of a message board for registered nurses to remind them to follow the dysphagia flowchart; posting of an organisational announcement in relation to timely escalation to speech pathology and process</w:t>
      </w:r>
      <w:r w:rsidR="00761EED">
        <w:t xml:space="preserve">; and providing education to all kitchen staff relating to IDDSI, mash potato and gravy mix. </w:t>
      </w:r>
      <w:r w:rsidR="000D55AE">
        <w:t xml:space="preserve">The provider’s response includes </w:t>
      </w:r>
      <w:r w:rsidR="00CD25EF">
        <w:t>continuous improvement plans, either initiated on the day of or subsequent to the assessment contact</w:t>
      </w:r>
      <w:r w:rsidR="00886548">
        <w:t>,</w:t>
      </w:r>
      <w:r w:rsidR="00CD25EF">
        <w:t xml:space="preserve"> addressing the deficits identified by the assessment team</w:t>
      </w:r>
      <w:r>
        <w:t>.</w:t>
      </w:r>
      <w:r w:rsidR="00CD25EF">
        <w:t xml:space="preserve"> I would encourage the provider to continue to progress with these </w:t>
      </w:r>
      <w:r w:rsidR="002D72F8">
        <w:t xml:space="preserve">improvement initiatives and to  ensure actions </w:t>
      </w:r>
      <w:r w:rsidR="00C547A7">
        <w:t xml:space="preserve">implemented </w:t>
      </w:r>
      <w:r w:rsidR="002D72F8">
        <w:t>are monitored</w:t>
      </w:r>
      <w:r w:rsidR="00C547A7">
        <w:t xml:space="preserve"> for effectiveness.</w:t>
      </w:r>
      <w:r w:rsidR="002D72F8">
        <w:t xml:space="preserve"> </w:t>
      </w:r>
      <w:r>
        <w:t xml:space="preserve">  </w:t>
      </w:r>
    </w:p>
    <w:p w14:paraId="2F85E3FF" w14:textId="6E719378" w:rsidR="00C41E94" w:rsidRPr="00262C0B" w:rsidRDefault="00674A0C" w:rsidP="0036130C">
      <w:pPr>
        <w:pStyle w:val="NormalArial"/>
      </w:pPr>
      <w:r>
        <w:t xml:space="preserve">For the reasons detailed above, I find requirement (3)(b) in Standard 3 Personal care and clinical care complaint. </w:t>
      </w:r>
    </w:p>
    <w:sectPr w:rsidR="00C41E94"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4AF1" w14:textId="77777777" w:rsidR="00861B2A" w:rsidRDefault="00861B2A">
      <w:pPr>
        <w:spacing w:after="0"/>
      </w:pPr>
      <w:r>
        <w:separator/>
      </w:r>
    </w:p>
  </w:endnote>
  <w:endnote w:type="continuationSeparator" w:id="0">
    <w:p w14:paraId="18F62394" w14:textId="77777777" w:rsidR="00861B2A" w:rsidRDefault="00861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07E3" w14:textId="77777777" w:rsidR="00C41E94" w:rsidRPr="00DF37F2" w:rsidRDefault="00C41E9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Aegis Stirling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C8888D" w14:textId="77777777" w:rsidR="00C41E94" w:rsidRPr="00DF37F2" w:rsidRDefault="00C41E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7277</w:t>
    </w:r>
    <w:bookmarkEnd w:id="2"/>
    <w:r w:rsidRPr="00DF37F2">
      <w:rPr>
        <w:rStyle w:val="FooterBold"/>
        <w:rFonts w:ascii="Arial" w:hAnsi="Arial"/>
        <w:b w:val="0"/>
      </w:rPr>
      <w:tab/>
      <w:t xml:space="preserve">OFFICIAL: Sensitive </w:t>
    </w:r>
  </w:p>
  <w:p w14:paraId="392B5114" w14:textId="77777777" w:rsidR="00C41E94" w:rsidRPr="00DF37F2" w:rsidRDefault="00C41E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B633" w14:textId="77777777" w:rsidR="00C41E94" w:rsidRDefault="00C41E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F8ADA" w14:textId="77777777" w:rsidR="00861B2A" w:rsidRDefault="00861B2A" w:rsidP="00D71F88">
      <w:pPr>
        <w:spacing w:after="0"/>
      </w:pPr>
      <w:r>
        <w:separator/>
      </w:r>
    </w:p>
  </w:footnote>
  <w:footnote w:type="continuationSeparator" w:id="0">
    <w:p w14:paraId="6E0A7EEB" w14:textId="77777777" w:rsidR="00861B2A" w:rsidRDefault="00861B2A"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0BAA" w14:textId="77777777" w:rsidR="00C41E94" w:rsidRDefault="00C41E94">
    <w:pPr>
      <w:pStyle w:val="Header"/>
    </w:pPr>
    <w:r>
      <w:rPr>
        <w:noProof/>
        <w:color w:val="2B579A"/>
        <w:shd w:val="clear" w:color="auto" w:fill="E6E6E6"/>
        <w:lang w:val="en-US"/>
      </w:rPr>
      <w:drawing>
        <wp:anchor distT="0" distB="0" distL="114300" distR="114300" simplePos="0" relativeHeight="251658241" behindDoc="1" locked="0" layoutInCell="1" allowOverlap="1" wp14:anchorId="2764DFEB" wp14:editId="63EEF5C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DEAE" w14:textId="77777777" w:rsidR="00C41E94" w:rsidRDefault="00C41E94">
    <w:pPr>
      <w:pStyle w:val="Header"/>
    </w:pPr>
    <w:r>
      <w:rPr>
        <w:noProof/>
      </w:rPr>
      <w:drawing>
        <wp:anchor distT="0" distB="0" distL="114300" distR="114300" simplePos="0" relativeHeight="251658240" behindDoc="0" locked="0" layoutInCell="1" allowOverlap="1" wp14:anchorId="615821CB" wp14:editId="0D1559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FA069E">
      <w:start w:val="1"/>
      <w:numFmt w:val="lowerRoman"/>
      <w:lvlText w:val="(%1)"/>
      <w:lvlJc w:val="left"/>
      <w:pPr>
        <w:ind w:left="1080" w:hanging="720"/>
      </w:pPr>
      <w:rPr>
        <w:rFonts w:hint="default"/>
      </w:rPr>
    </w:lvl>
    <w:lvl w:ilvl="1" w:tplc="307A4982" w:tentative="1">
      <w:start w:val="1"/>
      <w:numFmt w:val="lowerLetter"/>
      <w:lvlText w:val="%2."/>
      <w:lvlJc w:val="left"/>
      <w:pPr>
        <w:ind w:left="1440" w:hanging="360"/>
      </w:pPr>
    </w:lvl>
    <w:lvl w:ilvl="2" w:tplc="6F467342" w:tentative="1">
      <w:start w:val="1"/>
      <w:numFmt w:val="lowerRoman"/>
      <w:lvlText w:val="%3."/>
      <w:lvlJc w:val="right"/>
      <w:pPr>
        <w:ind w:left="2160" w:hanging="180"/>
      </w:pPr>
    </w:lvl>
    <w:lvl w:ilvl="3" w:tplc="085E4B6E" w:tentative="1">
      <w:start w:val="1"/>
      <w:numFmt w:val="decimal"/>
      <w:lvlText w:val="%4."/>
      <w:lvlJc w:val="left"/>
      <w:pPr>
        <w:ind w:left="2880" w:hanging="360"/>
      </w:pPr>
    </w:lvl>
    <w:lvl w:ilvl="4" w:tplc="38DCD066" w:tentative="1">
      <w:start w:val="1"/>
      <w:numFmt w:val="lowerLetter"/>
      <w:lvlText w:val="%5."/>
      <w:lvlJc w:val="left"/>
      <w:pPr>
        <w:ind w:left="3600" w:hanging="360"/>
      </w:pPr>
    </w:lvl>
    <w:lvl w:ilvl="5" w:tplc="8F180F42" w:tentative="1">
      <w:start w:val="1"/>
      <w:numFmt w:val="lowerRoman"/>
      <w:lvlText w:val="%6."/>
      <w:lvlJc w:val="right"/>
      <w:pPr>
        <w:ind w:left="4320" w:hanging="180"/>
      </w:pPr>
    </w:lvl>
    <w:lvl w:ilvl="6" w:tplc="A7A87D50" w:tentative="1">
      <w:start w:val="1"/>
      <w:numFmt w:val="decimal"/>
      <w:lvlText w:val="%7."/>
      <w:lvlJc w:val="left"/>
      <w:pPr>
        <w:ind w:left="5040" w:hanging="360"/>
      </w:pPr>
    </w:lvl>
    <w:lvl w:ilvl="7" w:tplc="079EAC5A" w:tentative="1">
      <w:start w:val="1"/>
      <w:numFmt w:val="lowerLetter"/>
      <w:lvlText w:val="%8."/>
      <w:lvlJc w:val="left"/>
      <w:pPr>
        <w:ind w:left="5760" w:hanging="360"/>
      </w:pPr>
    </w:lvl>
    <w:lvl w:ilvl="8" w:tplc="68DC24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EEFE12">
      <w:start w:val="1"/>
      <w:numFmt w:val="lowerRoman"/>
      <w:lvlText w:val="(%1)"/>
      <w:lvlJc w:val="left"/>
      <w:pPr>
        <w:ind w:left="1080" w:hanging="720"/>
      </w:pPr>
      <w:rPr>
        <w:rFonts w:hint="default"/>
      </w:rPr>
    </w:lvl>
    <w:lvl w:ilvl="1" w:tplc="AF365AB8" w:tentative="1">
      <w:start w:val="1"/>
      <w:numFmt w:val="lowerLetter"/>
      <w:lvlText w:val="%2."/>
      <w:lvlJc w:val="left"/>
      <w:pPr>
        <w:ind w:left="1440" w:hanging="360"/>
      </w:pPr>
    </w:lvl>
    <w:lvl w:ilvl="2" w:tplc="9AAEAED8" w:tentative="1">
      <w:start w:val="1"/>
      <w:numFmt w:val="lowerRoman"/>
      <w:lvlText w:val="%3."/>
      <w:lvlJc w:val="right"/>
      <w:pPr>
        <w:ind w:left="2160" w:hanging="180"/>
      </w:pPr>
    </w:lvl>
    <w:lvl w:ilvl="3" w:tplc="35A8D8B0" w:tentative="1">
      <w:start w:val="1"/>
      <w:numFmt w:val="decimal"/>
      <w:lvlText w:val="%4."/>
      <w:lvlJc w:val="left"/>
      <w:pPr>
        <w:ind w:left="2880" w:hanging="360"/>
      </w:pPr>
    </w:lvl>
    <w:lvl w:ilvl="4" w:tplc="74AA0FFC" w:tentative="1">
      <w:start w:val="1"/>
      <w:numFmt w:val="lowerLetter"/>
      <w:lvlText w:val="%5."/>
      <w:lvlJc w:val="left"/>
      <w:pPr>
        <w:ind w:left="3600" w:hanging="360"/>
      </w:pPr>
    </w:lvl>
    <w:lvl w:ilvl="5" w:tplc="8FFEB0E0" w:tentative="1">
      <w:start w:val="1"/>
      <w:numFmt w:val="lowerRoman"/>
      <w:lvlText w:val="%6."/>
      <w:lvlJc w:val="right"/>
      <w:pPr>
        <w:ind w:left="4320" w:hanging="180"/>
      </w:pPr>
    </w:lvl>
    <w:lvl w:ilvl="6" w:tplc="0F743628" w:tentative="1">
      <w:start w:val="1"/>
      <w:numFmt w:val="decimal"/>
      <w:lvlText w:val="%7."/>
      <w:lvlJc w:val="left"/>
      <w:pPr>
        <w:ind w:left="5040" w:hanging="360"/>
      </w:pPr>
    </w:lvl>
    <w:lvl w:ilvl="7" w:tplc="FFD4FA76" w:tentative="1">
      <w:start w:val="1"/>
      <w:numFmt w:val="lowerLetter"/>
      <w:lvlText w:val="%8."/>
      <w:lvlJc w:val="left"/>
      <w:pPr>
        <w:ind w:left="5760" w:hanging="360"/>
      </w:pPr>
    </w:lvl>
    <w:lvl w:ilvl="8" w:tplc="3F5625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726FBE">
      <w:start w:val="1"/>
      <w:numFmt w:val="lowerRoman"/>
      <w:lvlText w:val="(%1)"/>
      <w:lvlJc w:val="left"/>
      <w:pPr>
        <w:ind w:left="1080" w:hanging="720"/>
      </w:pPr>
      <w:rPr>
        <w:rFonts w:hint="default"/>
      </w:rPr>
    </w:lvl>
    <w:lvl w:ilvl="1" w:tplc="64963AEC" w:tentative="1">
      <w:start w:val="1"/>
      <w:numFmt w:val="lowerLetter"/>
      <w:lvlText w:val="%2."/>
      <w:lvlJc w:val="left"/>
      <w:pPr>
        <w:ind w:left="1440" w:hanging="360"/>
      </w:pPr>
    </w:lvl>
    <w:lvl w:ilvl="2" w:tplc="E2F4270E" w:tentative="1">
      <w:start w:val="1"/>
      <w:numFmt w:val="lowerRoman"/>
      <w:lvlText w:val="%3."/>
      <w:lvlJc w:val="right"/>
      <w:pPr>
        <w:ind w:left="2160" w:hanging="180"/>
      </w:pPr>
    </w:lvl>
    <w:lvl w:ilvl="3" w:tplc="9C4ED68A" w:tentative="1">
      <w:start w:val="1"/>
      <w:numFmt w:val="decimal"/>
      <w:lvlText w:val="%4."/>
      <w:lvlJc w:val="left"/>
      <w:pPr>
        <w:ind w:left="2880" w:hanging="360"/>
      </w:pPr>
    </w:lvl>
    <w:lvl w:ilvl="4" w:tplc="FB2A0F30" w:tentative="1">
      <w:start w:val="1"/>
      <w:numFmt w:val="lowerLetter"/>
      <w:lvlText w:val="%5."/>
      <w:lvlJc w:val="left"/>
      <w:pPr>
        <w:ind w:left="3600" w:hanging="360"/>
      </w:pPr>
    </w:lvl>
    <w:lvl w:ilvl="5" w:tplc="122CA34C" w:tentative="1">
      <w:start w:val="1"/>
      <w:numFmt w:val="lowerRoman"/>
      <w:lvlText w:val="%6."/>
      <w:lvlJc w:val="right"/>
      <w:pPr>
        <w:ind w:left="4320" w:hanging="180"/>
      </w:pPr>
    </w:lvl>
    <w:lvl w:ilvl="6" w:tplc="38E89E18" w:tentative="1">
      <w:start w:val="1"/>
      <w:numFmt w:val="decimal"/>
      <w:lvlText w:val="%7."/>
      <w:lvlJc w:val="left"/>
      <w:pPr>
        <w:ind w:left="5040" w:hanging="360"/>
      </w:pPr>
    </w:lvl>
    <w:lvl w:ilvl="7" w:tplc="99527CF2" w:tentative="1">
      <w:start w:val="1"/>
      <w:numFmt w:val="lowerLetter"/>
      <w:lvlText w:val="%8."/>
      <w:lvlJc w:val="left"/>
      <w:pPr>
        <w:ind w:left="5760" w:hanging="360"/>
      </w:pPr>
    </w:lvl>
    <w:lvl w:ilvl="8" w:tplc="C4CAFF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FAAFE0">
      <w:start w:val="1"/>
      <w:numFmt w:val="bullet"/>
      <w:lvlText w:val=""/>
      <w:lvlJc w:val="left"/>
      <w:pPr>
        <w:ind w:left="720" w:hanging="360"/>
      </w:pPr>
      <w:rPr>
        <w:rFonts w:ascii="Symbol" w:hAnsi="Symbol" w:hint="default"/>
        <w:color w:val="auto"/>
        <w:sz w:val="24"/>
        <w:szCs w:val="24"/>
      </w:rPr>
    </w:lvl>
    <w:lvl w:ilvl="1" w:tplc="DA265E64" w:tentative="1">
      <w:start w:val="1"/>
      <w:numFmt w:val="bullet"/>
      <w:lvlText w:val="o"/>
      <w:lvlJc w:val="left"/>
      <w:pPr>
        <w:ind w:left="1440" w:hanging="360"/>
      </w:pPr>
      <w:rPr>
        <w:rFonts w:ascii="Courier New" w:hAnsi="Courier New" w:cs="Courier New" w:hint="default"/>
      </w:rPr>
    </w:lvl>
    <w:lvl w:ilvl="2" w:tplc="86FA9D56" w:tentative="1">
      <w:start w:val="1"/>
      <w:numFmt w:val="bullet"/>
      <w:lvlText w:val=""/>
      <w:lvlJc w:val="left"/>
      <w:pPr>
        <w:ind w:left="2160" w:hanging="360"/>
      </w:pPr>
      <w:rPr>
        <w:rFonts w:ascii="Wingdings" w:hAnsi="Wingdings" w:hint="default"/>
      </w:rPr>
    </w:lvl>
    <w:lvl w:ilvl="3" w:tplc="79B22B20" w:tentative="1">
      <w:start w:val="1"/>
      <w:numFmt w:val="bullet"/>
      <w:lvlText w:val=""/>
      <w:lvlJc w:val="left"/>
      <w:pPr>
        <w:ind w:left="2880" w:hanging="360"/>
      </w:pPr>
      <w:rPr>
        <w:rFonts w:ascii="Symbol" w:hAnsi="Symbol" w:hint="default"/>
      </w:rPr>
    </w:lvl>
    <w:lvl w:ilvl="4" w:tplc="D15C3B10" w:tentative="1">
      <w:start w:val="1"/>
      <w:numFmt w:val="bullet"/>
      <w:lvlText w:val="o"/>
      <w:lvlJc w:val="left"/>
      <w:pPr>
        <w:ind w:left="3600" w:hanging="360"/>
      </w:pPr>
      <w:rPr>
        <w:rFonts w:ascii="Courier New" w:hAnsi="Courier New" w:cs="Courier New" w:hint="default"/>
      </w:rPr>
    </w:lvl>
    <w:lvl w:ilvl="5" w:tplc="3334CD14" w:tentative="1">
      <w:start w:val="1"/>
      <w:numFmt w:val="bullet"/>
      <w:lvlText w:val=""/>
      <w:lvlJc w:val="left"/>
      <w:pPr>
        <w:ind w:left="4320" w:hanging="360"/>
      </w:pPr>
      <w:rPr>
        <w:rFonts w:ascii="Wingdings" w:hAnsi="Wingdings" w:hint="default"/>
      </w:rPr>
    </w:lvl>
    <w:lvl w:ilvl="6" w:tplc="EFA2C652" w:tentative="1">
      <w:start w:val="1"/>
      <w:numFmt w:val="bullet"/>
      <w:lvlText w:val=""/>
      <w:lvlJc w:val="left"/>
      <w:pPr>
        <w:ind w:left="5040" w:hanging="360"/>
      </w:pPr>
      <w:rPr>
        <w:rFonts w:ascii="Symbol" w:hAnsi="Symbol" w:hint="default"/>
      </w:rPr>
    </w:lvl>
    <w:lvl w:ilvl="7" w:tplc="DFD22DB4" w:tentative="1">
      <w:start w:val="1"/>
      <w:numFmt w:val="bullet"/>
      <w:lvlText w:val="o"/>
      <w:lvlJc w:val="left"/>
      <w:pPr>
        <w:ind w:left="5760" w:hanging="360"/>
      </w:pPr>
      <w:rPr>
        <w:rFonts w:ascii="Courier New" w:hAnsi="Courier New" w:cs="Courier New" w:hint="default"/>
      </w:rPr>
    </w:lvl>
    <w:lvl w:ilvl="8" w:tplc="B890F8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521C56">
      <w:start w:val="1"/>
      <w:numFmt w:val="lowerRoman"/>
      <w:lvlText w:val="(%1)"/>
      <w:lvlJc w:val="left"/>
      <w:pPr>
        <w:ind w:left="1080" w:hanging="720"/>
      </w:pPr>
      <w:rPr>
        <w:rFonts w:hint="default"/>
      </w:rPr>
    </w:lvl>
    <w:lvl w:ilvl="1" w:tplc="79D0B456" w:tentative="1">
      <w:start w:val="1"/>
      <w:numFmt w:val="lowerLetter"/>
      <w:lvlText w:val="%2."/>
      <w:lvlJc w:val="left"/>
      <w:pPr>
        <w:ind w:left="1440" w:hanging="360"/>
      </w:pPr>
    </w:lvl>
    <w:lvl w:ilvl="2" w:tplc="F7C843E0" w:tentative="1">
      <w:start w:val="1"/>
      <w:numFmt w:val="lowerRoman"/>
      <w:lvlText w:val="%3."/>
      <w:lvlJc w:val="right"/>
      <w:pPr>
        <w:ind w:left="2160" w:hanging="180"/>
      </w:pPr>
    </w:lvl>
    <w:lvl w:ilvl="3" w:tplc="3E161ECE" w:tentative="1">
      <w:start w:val="1"/>
      <w:numFmt w:val="decimal"/>
      <w:lvlText w:val="%4."/>
      <w:lvlJc w:val="left"/>
      <w:pPr>
        <w:ind w:left="2880" w:hanging="360"/>
      </w:pPr>
    </w:lvl>
    <w:lvl w:ilvl="4" w:tplc="45BA4086" w:tentative="1">
      <w:start w:val="1"/>
      <w:numFmt w:val="lowerLetter"/>
      <w:lvlText w:val="%5."/>
      <w:lvlJc w:val="left"/>
      <w:pPr>
        <w:ind w:left="3600" w:hanging="360"/>
      </w:pPr>
    </w:lvl>
    <w:lvl w:ilvl="5" w:tplc="DD7C6560" w:tentative="1">
      <w:start w:val="1"/>
      <w:numFmt w:val="lowerRoman"/>
      <w:lvlText w:val="%6."/>
      <w:lvlJc w:val="right"/>
      <w:pPr>
        <w:ind w:left="4320" w:hanging="180"/>
      </w:pPr>
    </w:lvl>
    <w:lvl w:ilvl="6" w:tplc="A222683C" w:tentative="1">
      <w:start w:val="1"/>
      <w:numFmt w:val="decimal"/>
      <w:lvlText w:val="%7."/>
      <w:lvlJc w:val="left"/>
      <w:pPr>
        <w:ind w:left="5040" w:hanging="360"/>
      </w:pPr>
    </w:lvl>
    <w:lvl w:ilvl="7" w:tplc="25DA8D3C" w:tentative="1">
      <w:start w:val="1"/>
      <w:numFmt w:val="lowerLetter"/>
      <w:lvlText w:val="%8."/>
      <w:lvlJc w:val="left"/>
      <w:pPr>
        <w:ind w:left="5760" w:hanging="360"/>
      </w:pPr>
    </w:lvl>
    <w:lvl w:ilvl="8" w:tplc="B52CD8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5B8C688">
      <w:start w:val="1"/>
      <w:numFmt w:val="lowerRoman"/>
      <w:lvlText w:val="(%1)"/>
      <w:lvlJc w:val="left"/>
      <w:pPr>
        <w:ind w:left="1080" w:hanging="720"/>
      </w:pPr>
      <w:rPr>
        <w:rFonts w:hint="default"/>
      </w:rPr>
    </w:lvl>
    <w:lvl w:ilvl="1" w:tplc="0D06D9D0" w:tentative="1">
      <w:start w:val="1"/>
      <w:numFmt w:val="lowerLetter"/>
      <w:lvlText w:val="%2."/>
      <w:lvlJc w:val="left"/>
      <w:pPr>
        <w:ind w:left="1440" w:hanging="360"/>
      </w:pPr>
    </w:lvl>
    <w:lvl w:ilvl="2" w:tplc="78B66E56" w:tentative="1">
      <w:start w:val="1"/>
      <w:numFmt w:val="lowerRoman"/>
      <w:lvlText w:val="%3."/>
      <w:lvlJc w:val="right"/>
      <w:pPr>
        <w:ind w:left="2160" w:hanging="180"/>
      </w:pPr>
    </w:lvl>
    <w:lvl w:ilvl="3" w:tplc="70E2028C" w:tentative="1">
      <w:start w:val="1"/>
      <w:numFmt w:val="decimal"/>
      <w:lvlText w:val="%4."/>
      <w:lvlJc w:val="left"/>
      <w:pPr>
        <w:ind w:left="2880" w:hanging="360"/>
      </w:pPr>
    </w:lvl>
    <w:lvl w:ilvl="4" w:tplc="13EA6790" w:tentative="1">
      <w:start w:val="1"/>
      <w:numFmt w:val="lowerLetter"/>
      <w:lvlText w:val="%5."/>
      <w:lvlJc w:val="left"/>
      <w:pPr>
        <w:ind w:left="3600" w:hanging="360"/>
      </w:pPr>
    </w:lvl>
    <w:lvl w:ilvl="5" w:tplc="71180984" w:tentative="1">
      <w:start w:val="1"/>
      <w:numFmt w:val="lowerRoman"/>
      <w:lvlText w:val="%6."/>
      <w:lvlJc w:val="right"/>
      <w:pPr>
        <w:ind w:left="4320" w:hanging="180"/>
      </w:pPr>
    </w:lvl>
    <w:lvl w:ilvl="6" w:tplc="87A65DB0" w:tentative="1">
      <w:start w:val="1"/>
      <w:numFmt w:val="decimal"/>
      <w:lvlText w:val="%7."/>
      <w:lvlJc w:val="left"/>
      <w:pPr>
        <w:ind w:left="5040" w:hanging="360"/>
      </w:pPr>
    </w:lvl>
    <w:lvl w:ilvl="7" w:tplc="A38831A4" w:tentative="1">
      <w:start w:val="1"/>
      <w:numFmt w:val="lowerLetter"/>
      <w:lvlText w:val="%8."/>
      <w:lvlJc w:val="left"/>
      <w:pPr>
        <w:ind w:left="5760" w:hanging="360"/>
      </w:pPr>
    </w:lvl>
    <w:lvl w:ilvl="8" w:tplc="A68CC0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A66F4BE">
      <w:start w:val="1"/>
      <w:numFmt w:val="lowerRoman"/>
      <w:lvlText w:val="(%1)"/>
      <w:lvlJc w:val="left"/>
      <w:pPr>
        <w:ind w:left="1080" w:hanging="720"/>
      </w:pPr>
      <w:rPr>
        <w:rFonts w:hint="default"/>
      </w:rPr>
    </w:lvl>
    <w:lvl w:ilvl="1" w:tplc="D1287BF2" w:tentative="1">
      <w:start w:val="1"/>
      <w:numFmt w:val="lowerLetter"/>
      <w:lvlText w:val="%2."/>
      <w:lvlJc w:val="left"/>
      <w:pPr>
        <w:ind w:left="1440" w:hanging="360"/>
      </w:pPr>
    </w:lvl>
    <w:lvl w:ilvl="2" w:tplc="684E0936" w:tentative="1">
      <w:start w:val="1"/>
      <w:numFmt w:val="lowerRoman"/>
      <w:lvlText w:val="%3."/>
      <w:lvlJc w:val="right"/>
      <w:pPr>
        <w:ind w:left="2160" w:hanging="180"/>
      </w:pPr>
    </w:lvl>
    <w:lvl w:ilvl="3" w:tplc="B2001EFA" w:tentative="1">
      <w:start w:val="1"/>
      <w:numFmt w:val="decimal"/>
      <w:lvlText w:val="%4."/>
      <w:lvlJc w:val="left"/>
      <w:pPr>
        <w:ind w:left="2880" w:hanging="360"/>
      </w:pPr>
    </w:lvl>
    <w:lvl w:ilvl="4" w:tplc="A15AA12C" w:tentative="1">
      <w:start w:val="1"/>
      <w:numFmt w:val="lowerLetter"/>
      <w:lvlText w:val="%5."/>
      <w:lvlJc w:val="left"/>
      <w:pPr>
        <w:ind w:left="3600" w:hanging="360"/>
      </w:pPr>
    </w:lvl>
    <w:lvl w:ilvl="5" w:tplc="8676FD12" w:tentative="1">
      <w:start w:val="1"/>
      <w:numFmt w:val="lowerRoman"/>
      <w:lvlText w:val="%6."/>
      <w:lvlJc w:val="right"/>
      <w:pPr>
        <w:ind w:left="4320" w:hanging="180"/>
      </w:pPr>
    </w:lvl>
    <w:lvl w:ilvl="6" w:tplc="212AAAF8" w:tentative="1">
      <w:start w:val="1"/>
      <w:numFmt w:val="decimal"/>
      <w:lvlText w:val="%7."/>
      <w:lvlJc w:val="left"/>
      <w:pPr>
        <w:ind w:left="5040" w:hanging="360"/>
      </w:pPr>
    </w:lvl>
    <w:lvl w:ilvl="7" w:tplc="61C2BF16" w:tentative="1">
      <w:start w:val="1"/>
      <w:numFmt w:val="lowerLetter"/>
      <w:lvlText w:val="%8."/>
      <w:lvlJc w:val="left"/>
      <w:pPr>
        <w:ind w:left="5760" w:hanging="360"/>
      </w:pPr>
    </w:lvl>
    <w:lvl w:ilvl="8" w:tplc="44B2EF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ECA0B6">
      <w:start w:val="1"/>
      <w:numFmt w:val="lowerRoman"/>
      <w:lvlText w:val="(%1)"/>
      <w:lvlJc w:val="left"/>
      <w:pPr>
        <w:ind w:left="1080" w:hanging="720"/>
      </w:pPr>
      <w:rPr>
        <w:rFonts w:hint="default"/>
      </w:rPr>
    </w:lvl>
    <w:lvl w:ilvl="1" w:tplc="16A28940" w:tentative="1">
      <w:start w:val="1"/>
      <w:numFmt w:val="lowerLetter"/>
      <w:lvlText w:val="%2."/>
      <w:lvlJc w:val="left"/>
      <w:pPr>
        <w:ind w:left="1440" w:hanging="360"/>
      </w:pPr>
    </w:lvl>
    <w:lvl w:ilvl="2" w:tplc="BC34A15E" w:tentative="1">
      <w:start w:val="1"/>
      <w:numFmt w:val="lowerRoman"/>
      <w:lvlText w:val="%3."/>
      <w:lvlJc w:val="right"/>
      <w:pPr>
        <w:ind w:left="2160" w:hanging="180"/>
      </w:pPr>
    </w:lvl>
    <w:lvl w:ilvl="3" w:tplc="23FE2944" w:tentative="1">
      <w:start w:val="1"/>
      <w:numFmt w:val="decimal"/>
      <w:lvlText w:val="%4."/>
      <w:lvlJc w:val="left"/>
      <w:pPr>
        <w:ind w:left="2880" w:hanging="360"/>
      </w:pPr>
    </w:lvl>
    <w:lvl w:ilvl="4" w:tplc="7724FC3E" w:tentative="1">
      <w:start w:val="1"/>
      <w:numFmt w:val="lowerLetter"/>
      <w:lvlText w:val="%5."/>
      <w:lvlJc w:val="left"/>
      <w:pPr>
        <w:ind w:left="3600" w:hanging="360"/>
      </w:pPr>
    </w:lvl>
    <w:lvl w:ilvl="5" w:tplc="959AA338" w:tentative="1">
      <w:start w:val="1"/>
      <w:numFmt w:val="lowerRoman"/>
      <w:lvlText w:val="%6."/>
      <w:lvlJc w:val="right"/>
      <w:pPr>
        <w:ind w:left="4320" w:hanging="180"/>
      </w:pPr>
    </w:lvl>
    <w:lvl w:ilvl="6" w:tplc="38E28952" w:tentative="1">
      <w:start w:val="1"/>
      <w:numFmt w:val="decimal"/>
      <w:lvlText w:val="%7."/>
      <w:lvlJc w:val="left"/>
      <w:pPr>
        <w:ind w:left="5040" w:hanging="360"/>
      </w:pPr>
    </w:lvl>
    <w:lvl w:ilvl="7" w:tplc="B0A8ABA8" w:tentative="1">
      <w:start w:val="1"/>
      <w:numFmt w:val="lowerLetter"/>
      <w:lvlText w:val="%8."/>
      <w:lvlJc w:val="left"/>
      <w:pPr>
        <w:ind w:left="5760" w:hanging="360"/>
      </w:pPr>
    </w:lvl>
    <w:lvl w:ilvl="8" w:tplc="FE2EB2D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5FE3CF6">
      <w:start w:val="1"/>
      <w:numFmt w:val="lowerRoman"/>
      <w:lvlText w:val="(%1)"/>
      <w:lvlJc w:val="left"/>
      <w:pPr>
        <w:ind w:left="1080" w:hanging="720"/>
      </w:pPr>
      <w:rPr>
        <w:rFonts w:hint="default"/>
      </w:rPr>
    </w:lvl>
    <w:lvl w:ilvl="1" w:tplc="2652A49E" w:tentative="1">
      <w:start w:val="1"/>
      <w:numFmt w:val="lowerLetter"/>
      <w:lvlText w:val="%2."/>
      <w:lvlJc w:val="left"/>
      <w:pPr>
        <w:ind w:left="1440" w:hanging="360"/>
      </w:pPr>
    </w:lvl>
    <w:lvl w:ilvl="2" w:tplc="AD3690A0" w:tentative="1">
      <w:start w:val="1"/>
      <w:numFmt w:val="lowerRoman"/>
      <w:lvlText w:val="%3."/>
      <w:lvlJc w:val="right"/>
      <w:pPr>
        <w:ind w:left="2160" w:hanging="180"/>
      </w:pPr>
    </w:lvl>
    <w:lvl w:ilvl="3" w:tplc="C450D95C" w:tentative="1">
      <w:start w:val="1"/>
      <w:numFmt w:val="decimal"/>
      <w:lvlText w:val="%4."/>
      <w:lvlJc w:val="left"/>
      <w:pPr>
        <w:ind w:left="2880" w:hanging="360"/>
      </w:pPr>
    </w:lvl>
    <w:lvl w:ilvl="4" w:tplc="50C87400" w:tentative="1">
      <w:start w:val="1"/>
      <w:numFmt w:val="lowerLetter"/>
      <w:lvlText w:val="%5."/>
      <w:lvlJc w:val="left"/>
      <w:pPr>
        <w:ind w:left="3600" w:hanging="360"/>
      </w:pPr>
    </w:lvl>
    <w:lvl w:ilvl="5" w:tplc="9A20418E" w:tentative="1">
      <w:start w:val="1"/>
      <w:numFmt w:val="lowerRoman"/>
      <w:lvlText w:val="%6."/>
      <w:lvlJc w:val="right"/>
      <w:pPr>
        <w:ind w:left="4320" w:hanging="180"/>
      </w:pPr>
    </w:lvl>
    <w:lvl w:ilvl="6" w:tplc="3DA08FD0" w:tentative="1">
      <w:start w:val="1"/>
      <w:numFmt w:val="decimal"/>
      <w:lvlText w:val="%7."/>
      <w:lvlJc w:val="left"/>
      <w:pPr>
        <w:ind w:left="5040" w:hanging="360"/>
      </w:pPr>
    </w:lvl>
    <w:lvl w:ilvl="7" w:tplc="835E327E" w:tentative="1">
      <w:start w:val="1"/>
      <w:numFmt w:val="lowerLetter"/>
      <w:lvlText w:val="%8."/>
      <w:lvlJc w:val="left"/>
      <w:pPr>
        <w:ind w:left="5760" w:hanging="360"/>
      </w:pPr>
    </w:lvl>
    <w:lvl w:ilvl="8" w:tplc="64CC5A1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5286EE8">
      <w:start w:val="1"/>
      <w:numFmt w:val="lowerRoman"/>
      <w:lvlText w:val="(%1)"/>
      <w:lvlJc w:val="left"/>
      <w:pPr>
        <w:ind w:left="1080" w:hanging="720"/>
      </w:pPr>
      <w:rPr>
        <w:rFonts w:hint="default"/>
      </w:rPr>
    </w:lvl>
    <w:lvl w:ilvl="1" w:tplc="3064D606" w:tentative="1">
      <w:start w:val="1"/>
      <w:numFmt w:val="lowerLetter"/>
      <w:lvlText w:val="%2."/>
      <w:lvlJc w:val="left"/>
      <w:pPr>
        <w:ind w:left="1440" w:hanging="360"/>
      </w:pPr>
    </w:lvl>
    <w:lvl w:ilvl="2" w:tplc="56C0970A" w:tentative="1">
      <w:start w:val="1"/>
      <w:numFmt w:val="lowerRoman"/>
      <w:lvlText w:val="%3."/>
      <w:lvlJc w:val="right"/>
      <w:pPr>
        <w:ind w:left="2160" w:hanging="180"/>
      </w:pPr>
    </w:lvl>
    <w:lvl w:ilvl="3" w:tplc="DA548790" w:tentative="1">
      <w:start w:val="1"/>
      <w:numFmt w:val="decimal"/>
      <w:lvlText w:val="%4."/>
      <w:lvlJc w:val="left"/>
      <w:pPr>
        <w:ind w:left="2880" w:hanging="360"/>
      </w:pPr>
    </w:lvl>
    <w:lvl w:ilvl="4" w:tplc="115A0972" w:tentative="1">
      <w:start w:val="1"/>
      <w:numFmt w:val="lowerLetter"/>
      <w:lvlText w:val="%5."/>
      <w:lvlJc w:val="left"/>
      <w:pPr>
        <w:ind w:left="3600" w:hanging="360"/>
      </w:pPr>
    </w:lvl>
    <w:lvl w:ilvl="5" w:tplc="BDC27326" w:tentative="1">
      <w:start w:val="1"/>
      <w:numFmt w:val="lowerRoman"/>
      <w:lvlText w:val="%6."/>
      <w:lvlJc w:val="right"/>
      <w:pPr>
        <w:ind w:left="4320" w:hanging="180"/>
      </w:pPr>
    </w:lvl>
    <w:lvl w:ilvl="6" w:tplc="F87C5268" w:tentative="1">
      <w:start w:val="1"/>
      <w:numFmt w:val="decimal"/>
      <w:lvlText w:val="%7."/>
      <w:lvlJc w:val="left"/>
      <w:pPr>
        <w:ind w:left="5040" w:hanging="360"/>
      </w:pPr>
    </w:lvl>
    <w:lvl w:ilvl="7" w:tplc="DDB2766A" w:tentative="1">
      <w:start w:val="1"/>
      <w:numFmt w:val="lowerLetter"/>
      <w:lvlText w:val="%8."/>
      <w:lvlJc w:val="left"/>
      <w:pPr>
        <w:ind w:left="5760" w:hanging="360"/>
      </w:pPr>
    </w:lvl>
    <w:lvl w:ilvl="8" w:tplc="2376B6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8533748">
    <w:abstractNumId w:val="11"/>
  </w:num>
  <w:num w:numId="2" w16cid:durableId="1442872856">
    <w:abstractNumId w:val="4"/>
  </w:num>
  <w:num w:numId="3" w16cid:durableId="1250120725">
    <w:abstractNumId w:val="2"/>
  </w:num>
  <w:num w:numId="4" w16cid:durableId="535240667">
    <w:abstractNumId w:val="7"/>
  </w:num>
  <w:num w:numId="5" w16cid:durableId="331487956">
    <w:abstractNumId w:val="6"/>
  </w:num>
  <w:num w:numId="6" w16cid:durableId="830146383">
    <w:abstractNumId w:val="1"/>
  </w:num>
  <w:num w:numId="7" w16cid:durableId="1878661647">
    <w:abstractNumId w:val="9"/>
  </w:num>
  <w:num w:numId="8" w16cid:durableId="2006660957">
    <w:abstractNumId w:val="5"/>
  </w:num>
  <w:num w:numId="9" w16cid:durableId="288974192">
    <w:abstractNumId w:val="8"/>
  </w:num>
  <w:num w:numId="10" w16cid:durableId="1505124326">
    <w:abstractNumId w:val="3"/>
  </w:num>
  <w:num w:numId="11" w16cid:durableId="870460206">
    <w:abstractNumId w:val="10"/>
  </w:num>
  <w:num w:numId="12" w16cid:durableId="1918974790">
    <w:abstractNumId w:val="0"/>
  </w:num>
  <w:num w:numId="13" w16cid:durableId="906115350">
    <w:abstractNumId w:val="11"/>
  </w:num>
  <w:num w:numId="14" w16cid:durableId="2131436270">
    <w:abstractNumId w:val="11"/>
  </w:num>
  <w:num w:numId="15" w16cid:durableId="1938363308">
    <w:abstractNumId w:val="11"/>
  </w:num>
  <w:num w:numId="16" w16cid:durableId="1616867831">
    <w:abstractNumId w:val="11"/>
  </w:num>
  <w:num w:numId="17" w16cid:durableId="16142401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DF0"/>
    <w:rsid w:val="000124C3"/>
    <w:rsid w:val="00016616"/>
    <w:rsid w:val="000246F5"/>
    <w:rsid w:val="0004406D"/>
    <w:rsid w:val="00062BC7"/>
    <w:rsid w:val="00065FCB"/>
    <w:rsid w:val="00072B0B"/>
    <w:rsid w:val="000C3303"/>
    <w:rsid w:val="000C55A2"/>
    <w:rsid w:val="000D3468"/>
    <w:rsid w:val="000D55AE"/>
    <w:rsid w:val="000E0B3D"/>
    <w:rsid w:val="001166BB"/>
    <w:rsid w:val="0013529C"/>
    <w:rsid w:val="00154F2C"/>
    <w:rsid w:val="00187307"/>
    <w:rsid w:val="00187CE8"/>
    <w:rsid w:val="00191557"/>
    <w:rsid w:val="001A18CC"/>
    <w:rsid w:val="001A6AA3"/>
    <w:rsid w:val="001A6DBC"/>
    <w:rsid w:val="001D1000"/>
    <w:rsid w:val="001E6C4F"/>
    <w:rsid w:val="001F0E06"/>
    <w:rsid w:val="00200C55"/>
    <w:rsid w:val="00213AEA"/>
    <w:rsid w:val="00214689"/>
    <w:rsid w:val="002275E1"/>
    <w:rsid w:val="002435A9"/>
    <w:rsid w:val="0027555C"/>
    <w:rsid w:val="002D275D"/>
    <w:rsid w:val="002D72F8"/>
    <w:rsid w:val="002E0BEB"/>
    <w:rsid w:val="002E4173"/>
    <w:rsid w:val="00301953"/>
    <w:rsid w:val="00304946"/>
    <w:rsid w:val="003321C5"/>
    <w:rsid w:val="0034114D"/>
    <w:rsid w:val="00344709"/>
    <w:rsid w:val="00360FB4"/>
    <w:rsid w:val="00374940"/>
    <w:rsid w:val="003C7053"/>
    <w:rsid w:val="003E1152"/>
    <w:rsid w:val="00400F92"/>
    <w:rsid w:val="00417CA2"/>
    <w:rsid w:val="004211F3"/>
    <w:rsid w:val="00435F48"/>
    <w:rsid w:val="004A075F"/>
    <w:rsid w:val="004A1F72"/>
    <w:rsid w:val="004C60B6"/>
    <w:rsid w:val="004E3063"/>
    <w:rsid w:val="004E5896"/>
    <w:rsid w:val="004E58AD"/>
    <w:rsid w:val="004F078F"/>
    <w:rsid w:val="005112DD"/>
    <w:rsid w:val="005310AA"/>
    <w:rsid w:val="00544B86"/>
    <w:rsid w:val="00546B5D"/>
    <w:rsid w:val="00571228"/>
    <w:rsid w:val="005811FE"/>
    <w:rsid w:val="00585EC5"/>
    <w:rsid w:val="00594385"/>
    <w:rsid w:val="005C4244"/>
    <w:rsid w:val="005C4E17"/>
    <w:rsid w:val="006116CF"/>
    <w:rsid w:val="006138EE"/>
    <w:rsid w:val="006375CF"/>
    <w:rsid w:val="00662F8C"/>
    <w:rsid w:val="006643C6"/>
    <w:rsid w:val="00674A0C"/>
    <w:rsid w:val="00676AE2"/>
    <w:rsid w:val="00683049"/>
    <w:rsid w:val="006B357E"/>
    <w:rsid w:val="006B4F3C"/>
    <w:rsid w:val="006B5617"/>
    <w:rsid w:val="006B7473"/>
    <w:rsid w:val="006F6D53"/>
    <w:rsid w:val="00701CBF"/>
    <w:rsid w:val="007156FA"/>
    <w:rsid w:val="00743C2D"/>
    <w:rsid w:val="00760438"/>
    <w:rsid w:val="00761EED"/>
    <w:rsid w:val="00790FC7"/>
    <w:rsid w:val="007B510D"/>
    <w:rsid w:val="007B75E4"/>
    <w:rsid w:val="007C1628"/>
    <w:rsid w:val="007C20A6"/>
    <w:rsid w:val="007D6535"/>
    <w:rsid w:val="007E0DEA"/>
    <w:rsid w:val="008150E9"/>
    <w:rsid w:val="008320E9"/>
    <w:rsid w:val="00833337"/>
    <w:rsid w:val="00847C70"/>
    <w:rsid w:val="00861B2A"/>
    <w:rsid w:val="00866D12"/>
    <w:rsid w:val="00886548"/>
    <w:rsid w:val="008B1971"/>
    <w:rsid w:val="008C0FEA"/>
    <w:rsid w:val="008F2D66"/>
    <w:rsid w:val="00901816"/>
    <w:rsid w:val="00916892"/>
    <w:rsid w:val="009235D1"/>
    <w:rsid w:val="009335C8"/>
    <w:rsid w:val="0094242B"/>
    <w:rsid w:val="009553C4"/>
    <w:rsid w:val="009903AE"/>
    <w:rsid w:val="009925BB"/>
    <w:rsid w:val="009957E3"/>
    <w:rsid w:val="009B23AE"/>
    <w:rsid w:val="009B561A"/>
    <w:rsid w:val="009D20A7"/>
    <w:rsid w:val="00A11395"/>
    <w:rsid w:val="00A45CA4"/>
    <w:rsid w:val="00A57B19"/>
    <w:rsid w:val="00A65FF5"/>
    <w:rsid w:val="00A901B9"/>
    <w:rsid w:val="00AA5C64"/>
    <w:rsid w:val="00AF201A"/>
    <w:rsid w:val="00AF5696"/>
    <w:rsid w:val="00AF6221"/>
    <w:rsid w:val="00B02578"/>
    <w:rsid w:val="00B10E5D"/>
    <w:rsid w:val="00B1151A"/>
    <w:rsid w:val="00B11624"/>
    <w:rsid w:val="00B36959"/>
    <w:rsid w:val="00B40267"/>
    <w:rsid w:val="00B444E8"/>
    <w:rsid w:val="00B566A3"/>
    <w:rsid w:val="00B57F97"/>
    <w:rsid w:val="00B6337D"/>
    <w:rsid w:val="00B77037"/>
    <w:rsid w:val="00B77467"/>
    <w:rsid w:val="00B835D7"/>
    <w:rsid w:val="00B957A3"/>
    <w:rsid w:val="00BA2947"/>
    <w:rsid w:val="00BB3D9C"/>
    <w:rsid w:val="00C01397"/>
    <w:rsid w:val="00C1571B"/>
    <w:rsid w:val="00C26311"/>
    <w:rsid w:val="00C30978"/>
    <w:rsid w:val="00C37C82"/>
    <w:rsid w:val="00C41E94"/>
    <w:rsid w:val="00C547A7"/>
    <w:rsid w:val="00C57750"/>
    <w:rsid w:val="00C64F22"/>
    <w:rsid w:val="00CB28EB"/>
    <w:rsid w:val="00CC5F09"/>
    <w:rsid w:val="00CD25EF"/>
    <w:rsid w:val="00CE3414"/>
    <w:rsid w:val="00D0152A"/>
    <w:rsid w:val="00D32901"/>
    <w:rsid w:val="00D32B2F"/>
    <w:rsid w:val="00D338AE"/>
    <w:rsid w:val="00D41B7D"/>
    <w:rsid w:val="00D437DA"/>
    <w:rsid w:val="00D5398C"/>
    <w:rsid w:val="00D5500B"/>
    <w:rsid w:val="00D56804"/>
    <w:rsid w:val="00D91DF0"/>
    <w:rsid w:val="00DA3655"/>
    <w:rsid w:val="00DF2995"/>
    <w:rsid w:val="00DF66BB"/>
    <w:rsid w:val="00E15B91"/>
    <w:rsid w:val="00E61FD6"/>
    <w:rsid w:val="00E707FE"/>
    <w:rsid w:val="00E72C2A"/>
    <w:rsid w:val="00E7382B"/>
    <w:rsid w:val="00E84274"/>
    <w:rsid w:val="00EA3B85"/>
    <w:rsid w:val="00EA6279"/>
    <w:rsid w:val="00EB73CD"/>
    <w:rsid w:val="00F00B82"/>
    <w:rsid w:val="00F1580A"/>
    <w:rsid w:val="00F263DC"/>
    <w:rsid w:val="00F276FB"/>
    <w:rsid w:val="00F41787"/>
    <w:rsid w:val="00F4339F"/>
    <w:rsid w:val="00F544C5"/>
    <w:rsid w:val="00F63E13"/>
    <w:rsid w:val="00F67540"/>
    <w:rsid w:val="00F90D9B"/>
    <w:rsid w:val="00FB09CA"/>
    <w:rsid w:val="00FB5E4F"/>
    <w:rsid w:val="00FC1CFE"/>
    <w:rsid w:val="00FD26A2"/>
    <w:rsid w:val="00FE4DA5"/>
    <w:rsid w:val="00FF0B0C"/>
    <w:rsid w:val="00FF51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D410F"/>
  <w15:docId w15:val="{4FB10CEF-FBE3-4F09-B1F6-FE6F0F233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B57F9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4406D"/>
    <w:rPr>
      <w:sz w:val="16"/>
      <w:szCs w:val="16"/>
    </w:rPr>
  </w:style>
  <w:style w:type="paragraph" w:styleId="CommentSubject">
    <w:name w:val="annotation subject"/>
    <w:basedOn w:val="CommentText"/>
    <w:next w:val="CommentText"/>
    <w:link w:val="CommentSubjectChar"/>
    <w:uiPriority w:val="99"/>
    <w:semiHidden/>
    <w:unhideWhenUsed/>
    <w:rsid w:val="0004406D"/>
    <w:rPr>
      <w:b/>
      <w:bCs/>
      <w:sz w:val="20"/>
      <w:szCs w:val="20"/>
    </w:rPr>
  </w:style>
  <w:style w:type="character" w:customStyle="1" w:styleId="CommentSubjectChar">
    <w:name w:val="Comment Subject Char"/>
    <w:basedOn w:val="CommentTextChar"/>
    <w:link w:val="CommentSubject"/>
    <w:uiPriority w:val="99"/>
    <w:semiHidden/>
    <w:rsid w:val="0004406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4B5A3B" w:rsidRDefault="004B5A3B"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B5A3B" w:rsidRDefault="004B5A3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B5A3B" w:rsidRDefault="004B5A3B"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5A3B"/>
    <w:rsid w:val="001A6AA3"/>
    <w:rsid w:val="001E6C4F"/>
    <w:rsid w:val="001F0E06"/>
    <w:rsid w:val="004B5A3B"/>
    <w:rsid w:val="00530BB3"/>
    <w:rsid w:val="009553C4"/>
    <w:rsid w:val="00965EAF"/>
    <w:rsid w:val="00A55FE4"/>
    <w:rsid w:val="00B77467"/>
    <w:rsid w:val="00C02EFA"/>
    <w:rsid w:val="00FF0B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5FE4"/>
    <w:rPr>
      <w:color w:val="808080"/>
    </w:rPr>
  </w:style>
  <w:style w:type="paragraph" w:customStyle="1" w:styleId="0D61E033F7B14F8F811FEE8D2AABD251">
    <w:name w:val="0D61E033F7B14F8F811FEE8D2AABD251"/>
    <w:rsid w:val="0076019D"/>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1918</Words>
  <Characters>10933</Characters>
  <Application>Microsoft Office Word</Application>
  <DocSecurity>12</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2024-06-24T00:01:00Z</dcterms:created>
  <dcterms:modified xsi:type="dcterms:W3CDTF">2024-06-24T00:01:00Z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