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6C06" w14:textId="77777777" w:rsidR="00D2559D" w:rsidRPr="002C3EBF" w:rsidRDefault="004A31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A46D42" wp14:editId="77A46D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728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A46C07" w14:textId="77777777" w:rsidR="00D2559D" w:rsidRDefault="004A31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A46C08" w14:textId="77777777" w:rsidR="00D2559D" w:rsidRDefault="004A31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A46C09" w14:textId="77777777" w:rsidR="00D2559D" w:rsidRPr="002C3EBF" w:rsidRDefault="004A31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3F6B" w14:paraId="77A46C0C" w14:textId="77777777" w:rsidTr="00013F6B">
        <w:tc>
          <w:tcPr>
            <w:cnfStyle w:val="001000000000" w:firstRow="0" w:lastRow="0" w:firstColumn="1" w:lastColumn="0" w:oddVBand="0" w:evenVBand="0" w:oddHBand="0" w:evenHBand="0" w:firstRowFirstColumn="0" w:firstRowLastColumn="0" w:lastRowFirstColumn="0" w:lastRowLastColumn="0"/>
            <w:tcW w:w="3227" w:type="dxa"/>
          </w:tcPr>
          <w:p w14:paraId="77A46C0A" w14:textId="77777777" w:rsidR="00D2559D" w:rsidRPr="00996FAF" w:rsidRDefault="004A31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A46C0B" w14:textId="77777777" w:rsidR="00D2559D" w:rsidRPr="00996FAF" w:rsidRDefault="004A3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Anam</w:t>
            </w:r>
            <w:proofErr w:type="spellEnd"/>
            <w:r w:rsidRPr="00996FAF">
              <w:rPr>
                <w:rFonts w:ascii="Arial" w:hAnsi="Arial" w:cs="Arial"/>
                <w:color w:val="auto"/>
              </w:rPr>
              <w:t xml:space="preserve"> Cara</w:t>
            </w:r>
          </w:p>
        </w:tc>
      </w:tr>
      <w:tr w:rsidR="00013F6B" w14:paraId="77A46C0F" w14:textId="77777777" w:rsidTr="00013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46C0D" w14:textId="77777777" w:rsidR="00CA37CB" w:rsidRPr="00996FAF" w:rsidRDefault="004A31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A46C0E" w14:textId="77777777" w:rsidR="00CA37CB" w:rsidRPr="00996FAF" w:rsidRDefault="004A31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52 Lavarack Road</w:t>
            </w:r>
            <w:r w:rsidRPr="00602258">
              <w:rPr>
                <w:rFonts w:ascii="Arial" w:hAnsi="Arial" w:cs="Arial"/>
                <w:color w:val="auto"/>
              </w:rPr>
              <w:t xml:space="preserve"> BRAY PARK QLD 4500</w:t>
            </w:r>
          </w:p>
        </w:tc>
      </w:tr>
      <w:tr w:rsidR="00013F6B" w14:paraId="77A46C12" w14:textId="77777777" w:rsidTr="00013F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46C10" w14:textId="77777777" w:rsidR="00CA37CB" w:rsidRPr="00996FAF" w:rsidRDefault="004A31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A46C11" w14:textId="77777777" w:rsidR="00CA37CB" w:rsidRPr="00996FAF" w:rsidRDefault="004A3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5355</w:t>
            </w:r>
          </w:p>
        </w:tc>
      </w:tr>
      <w:tr w:rsidR="00013F6B" w14:paraId="77A46C15" w14:textId="77777777" w:rsidTr="00013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46C13" w14:textId="77777777" w:rsidR="00D2559D" w:rsidRPr="00996FAF" w:rsidRDefault="004A31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A46C14" w14:textId="77777777" w:rsidR="00D2559D" w:rsidRPr="00996FAF" w:rsidRDefault="004A31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013F6B" w14:paraId="77A46C18" w14:textId="77777777" w:rsidTr="00013F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46C16" w14:textId="77777777" w:rsidR="00D2559D" w:rsidRPr="00996FAF" w:rsidRDefault="004A31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A46C17" w14:textId="77777777" w:rsidR="00D2559D" w:rsidRPr="00996FAF" w:rsidRDefault="004A31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13F6B" w14:paraId="77A46C1B" w14:textId="77777777" w:rsidTr="00013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46C19" w14:textId="77777777" w:rsidR="00D2559D" w:rsidRPr="00996FAF" w:rsidRDefault="004A31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A46C1A" w14:textId="77777777" w:rsidR="00D2559D" w:rsidRPr="00996FAF" w:rsidRDefault="004A31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May 2023</w:t>
            </w:r>
          </w:p>
        </w:tc>
      </w:tr>
      <w:tr w:rsidR="00013F6B" w14:paraId="77A46C1E" w14:textId="77777777" w:rsidTr="00013F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A46C1C" w14:textId="77777777" w:rsidR="00D2559D" w:rsidRPr="00996FAF" w:rsidRDefault="004A31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A46C1D" w14:textId="22F096F8" w:rsidR="00D2559D" w:rsidRPr="00996FAF" w:rsidRDefault="005219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191E">
              <w:rPr>
                <w:rFonts w:ascii="Arial" w:hAnsi="Arial" w:cs="Arial"/>
                <w:color w:val="auto"/>
              </w:rPr>
              <w:t>23 June 2023</w:t>
            </w:r>
          </w:p>
        </w:tc>
      </w:tr>
    </w:tbl>
    <w:bookmarkEnd w:id="0"/>
    <w:p w14:paraId="77A46C1F" w14:textId="77777777" w:rsidR="00FA0A5B" w:rsidRPr="00996FAF" w:rsidRDefault="004A31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A46C20" w14:textId="77777777" w:rsidR="000078F8" w:rsidRPr="00996FAF" w:rsidRDefault="004A316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A46C21" w14:textId="18C94AA9" w:rsidR="000078F8" w:rsidRPr="0052191E" w:rsidRDefault="004A316E" w:rsidP="0036130C">
      <w:pPr>
        <w:pStyle w:val="NormalArial"/>
        <w:rPr>
          <w:color w:val="auto"/>
        </w:rPr>
      </w:pPr>
      <w:r w:rsidRPr="0052191E">
        <w:rPr>
          <w:color w:val="auto"/>
        </w:rPr>
        <w:t xml:space="preserve">This performance report for </w:t>
      </w:r>
      <w:proofErr w:type="spellStart"/>
      <w:r w:rsidRPr="0052191E">
        <w:rPr>
          <w:color w:val="auto"/>
        </w:rPr>
        <w:t>Anam</w:t>
      </w:r>
      <w:proofErr w:type="spellEnd"/>
      <w:r w:rsidRPr="0052191E">
        <w:rPr>
          <w:color w:val="auto"/>
        </w:rPr>
        <w:t xml:space="preserve"> Cara (</w:t>
      </w:r>
      <w:r w:rsidRPr="0052191E">
        <w:rPr>
          <w:b/>
          <w:color w:val="auto"/>
        </w:rPr>
        <w:t>the service</w:t>
      </w:r>
      <w:r w:rsidRPr="0052191E">
        <w:rPr>
          <w:color w:val="auto"/>
        </w:rPr>
        <w:t xml:space="preserve">) has been prepared by </w:t>
      </w:r>
      <w:r w:rsidR="0052191E" w:rsidRPr="0052191E">
        <w:rPr>
          <w:color w:val="auto"/>
        </w:rPr>
        <w:t>K. Reed</w:t>
      </w:r>
      <w:r w:rsidRPr="0052191E">
        <w:rPr>
          <w:color w:val="auto"/>
        </w:rPr>
        <w:t>, delegate of the Aged Care Quality and Safety Commissioner (Commissioner)</w:t>
      </w:r>
      <w:r w:rsidRPr="0052191E">
        <w:rPr>
          <w:rStyle w:val="FootnoteReference"/>
          <w:color w:val="auto"/>
        </w:rPr>
        <w:footnoteReference w:id="1"/>
      </w:r>
      <w:r w:rsidRPr="0052191E">
        <w:rPr>
          <w:color w:val="auto"/>
        </w:rPr>
        <w:t xml:space="preserve">. </w:t>
      </w:r>
    </w:p>
    <w:p w14:paraId="77A46C22" w14:textId="77777777" w:rsidR="000078F8" w:rsidRPr="0052191E" w:rsidRDefault="004A316E" w:rsidP="0036130C">
      <w:pPr>
        <w:pStyle w:val="NormalArial"/>
        <w:rPr>
          <w:color w:val="auto"/>
        </w:rPr>
      </w:pPr>
      <w:r w:rsidRPr="0052191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A46C23" w14:textId="77777777" w:rsidR="000078F8" w:rsidRPr="0052191E" w:rsidRDefault="004A316E" w:rsidP="0036130C">
      <w:pPr>
        <w:pStyle w:val="NormalArial"/>
        <w:rPr>
          <w:color w:val="auto"/>
        </w:rPr>
      </w:pPr>
      <w:r w:rsidRPr="0052191E">
        <w:rPr>
          <w:color w:val="auto"/>
        </w:rPr>
        <w:t>The report also specifies any areas in which improvements must be made to ensure the Quality Standards are complied with.</w:t>
      </w:r>
    </w:p>
    <w:p w14:paraId="77A46C24" w14:textId="77777777" w:rsidR="00DF37F2" w:rsidRPr="0052191E" w:rsidRDefault="004A316E" w:rsidP="00712752">
      <w:pPr>
        <w:pStyle w:val="Heading1"/>
        <w:spacing w:before="240" w:after="240" w:line="22" w:lineRule="atLeast"/>
        <w:rPr>
          <w:rFonts w:ascii="Arial" w:hAnsi="Arial" w:cs="Arial"/>
          <w:color w:val="auto"/>
        </w:rPr>
      </w:pPr>
      <w:r w:rsidRPr="0052191E">
        <w:rPr>
          <w:rFonts w:ascii="Arial" w:hAnsi="Arial" w:cs="Arial"/>
          <w:color w:val="auto"/>
        </w:rPr>
        <w:t>Material relied on</w:t>
      </w:r>
    </w:p>
    <w:p w14:paraId="77A46C25" w14:textId="77777777" w:rsidR="00DF37F2" w:rsidRPr="0052191E" w:rsidRDefault="004A316E" w:rsidP="0036130C">
      <w:pPr>
        <w:pStyle w:val="NormalArial"/>
        <w:rPr>
          <w:color w:val="auto"/>
        </w:rPr>
      </w:pPr>
      <w:r w:rsidRPr="0052191E">
        <w:rPr>
          <w:color w:val="auto"/>
        </w:rPr>
        <w:t>The following information has been considered in preparing the performance report:</w:t>
      </w:r>
    </w:p>
    <w:p w14:paraId="77A46C26" w14:textId="64E0010F" w:rsidR="00DF37F2" w:rsidRPr="0052191E" w:rsidRDefault="004A316E" w:rsidP="00712752">
      <w:pPr>
        <w:pStyle w:val="ListParagraph"/>
        <w:numPr>
          <w:ilvl w:val="0"/>
          <w:numId w:val="2"/>
        </w:numPr>
        <w:spacing w:line="240" w:lineRule="atLeast"/>
        <w:ind w:left="714" w:hanging="357"/>
        <w:contextualSpacing w:val="0"/>
        <w:rPr>
          <w:rFonts w:ascii="Arial" w:hAnsi="Arial" w:cs="Arial"/>
          <w:color w:val="auto"/>
        </w:rPr>
      </w:pPr>
      <w:r w:rsidRPr="0052191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52191E">
        <w:rPr>
          <w:rFonts w:ascii="Arial" w:hAnsi="Arial" w:cs="Arial"/>
          <w:color w:val="auto"/>
        </w:rPr>
        <w:t>representatives</w:t>
      </w:r>
      <w:proofErr w:type="gramEnd"/>
      <w:r w:rsidRPr="0052191E">
        <w:rPr>
          <w:rFonts w:ascii="Arial" w:hAnsi="Arial" w:cs="Arial"/>
          <w:color w:val="auto"/>
        </w:rPr>
        <w:t xml:space="preserve"> and others</w:t>
      </w:r>
    </w:p>
    <w:p w14:paraId="77A46C27" w14:textId="0FBFA225" w:rsidR="00DF37F2" w:rsidRPr="0052191E" w:rsidRDefault="004A316E" w:rsidP="00712752">
      <w:pPr>
        <w:pStyle w:val="ListParagraph"/>
        <w:numPr>
          <w:ilvl w:val="0"/>
          <w:numId w:val="2"/>
        </w:numPr>
        <w:spacing w:line="240" w:lineRule="atLeast"/>
        <w:ind w:left="714" w:hanging="357"/>
        <w:contextualSpacing w:val="0"/>
        <w:rPr>
          <w:rFonts w:ascii="Arial" w:hAnsi="Arial" w:cs="Arial"/>
          <w:color w:val="auto"/>
        </w:rPr>
      </w:pPr>
      <w:r w:rsidRPr="0052191E">
        <w:rPr>
          <w:rFonts w:ascii="Arial" w:hAnsi="Arial" w:cs="Arial"/>
          <w:color w:val="auto"/>
        </w:rPr>
        <w:t xml:space="preserve">the provider’s response to the assessment team’s report received </w:t>
      </w:r>
      <w:r w:rsidR="0052191E" w:rsidRPr="0052191E">
        <w:rPr>
          <w:rFonts w:ascii="Arial" w:hAnsi="Arial" w:cs="Arial"/>
          <w:color w:val="auto"/>
        </w:rPr>
        <w:t>02 June 2023</w:t>
      </w:r>
    </w:p>
    <w:p w14:paraId="77A46C28" w14:textId="4C22F388" w:rsidR="0052191E" w:rsidRPr="0052191E" w:rsidRDefault="0052191E" w:rsidP="0052191E">
      <w:pPr>
        <w:pStyle w:val="ListParagraph"/>
        <w:numPr>
          <w:ilvl w:val="0"/>
          <w:numId w:val="2"/>
        </w:numPr>
        <w:spacing w:line="240" w:lineRule="atLeast"/>
        <w:ind w:left="714" w:hanging="357"/>
        <w:contextualSpacing w:val="0"/>
        <w:rPr>
          <w:rFonts w:ascii="Arial" w:hAnsi="Arial" w:cs="Arial"/>
          <w:color w:val="auto"/>
        </w:rPr>
      </w:pPr>
      <w:r w:rsidRPr="0052191E">
        <w:rPr>
          <w:rFonts w:ascii="Arial" w:hAnsi="Arial" w:cs="Arial"/>
          <w:color w:val="auto"/>
        </w:rPr>
        <w:t xml:space="preserve">Other information and intelligence held by the Commission in relation to the service. </w:t>
      </w:r>
    </w:p>
    <w:p w14:paraId="77A46C2A" w14:textId="57DCDABE" w:rsidR="003B1763" w:rsidRPr="0052191E" w:rsidRDefault="004A316E" w:rsidP="008E1713">
      <w:pPr>
        <w:pStyle w:val="ListParagraph"/>
        <w:numPr>
          <w:ilvl w:val="0"/>
          <w:numId w:val="2"/>
        </w:numPr>
        <w:spacing w:line="22" w:lineRule="atLeast"/>
        <w:ind w:left="714" w:hanging="357"/>
        <w:contextualSpacing w:val="0"/>
        <w:rPr>
          <w:rFonts w:ascii="Arial" w:hAnsi="Arial" w:cs="Arial"/>
          <w:color w:val="auto"/>
        </w:rPr>
      </w:pPr>
      <w:r w:rsidRPr="0052191E">
        <w:rPr>
          <w:rFonts w:ascii="Arial" w:hAnsi="Arial" w:cs="Arial"/>
          <w:color w:val="auto"/>
        </w:rPr>
        <w:br w:type="page"/>
      </w:r>
    </w:p>
    <w:p w14:paraId="77A46C2B" w14:textId="77777777" w:rsidR="00FC045E" w:rsidRPr="00996FAF" w:rsidRDefault="004A31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3F6B" w14:paraId="77A46C31" w14:textId="77777777" w:rsidTr="00013F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46C2F" w14:textId="77777777" w:rsidR="00FC045E" w:rsidRPr="00996FAF" w:rsidRDefault="004A316E" w:rsidP="009767BC">
            <w:pPr>
              <w:keepNext/>
              <w:spacing w:before="0" w:line="22" w:lineRule="atLeast"/>
              <w:ind w:right="-109"/>
              <w:rPr>
                <w:rFonts w:ascii="Arial" w:hAnsi="Arial" w:cs="Arial"/>
              </w:rPr>
            </w:pPr>
            <w:r w:rsidRPr="00996FAF">
              <w:rPr>
                <w:rFonts w:ascii="Arial" w:hAnsi="Arial" w:cs="Arial"/>
              </w:rPr>
              <w:t xml:space="preserve">Standard 2 </w:t>
            </w:r>
            <w:r w:rsidRPr="0052191E">
              <w:rPr>
                <w:rFonts w:ascii="Arial" w:hAnsi="Arial" w:cs="Arial"/>
                <w:b w:val="0"/>
                <w:bCs/>
              </w:rPr>
              <w:t>Ongoing assessment and planning with consumers</w:t>
            </w:r>
          </w:p>
        </w:tc>
        <w:tc>
          <w:tcPr>
            <w:tcW w:w="1583" w:type="pct"/>
            <w:shd w:val="clear" w:color="auto" w:fill="auto"/>
          </w:tcPr>
          <w:p w14:paraId="77A46C30" w14:textId="5E6BF232" w:rsidR="00FC045E" w:rsidRPr="00996FAF" w:rsidRDefault="008306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0B76">
                  <w:rPr>
                    <w:rFonts w:ascii="Arial" w:hAnsi="Arial" w:cs="Arial"/>
                  </w:rPr>
                  <w:t>Not applicable as not all requirements have been assessed</w:t>
                </w:r>
              </w:sdtContent>
            </w:sdt>
            <w:r w:rsidR="004A316E" w:rsidRPr="00996FAF">
              <w:rPr>
                <w:rFonts w:ascii="Arial" w:hAnsi="Arial" w:cs="Arial"/>
              </w:rPr>
              <w:t xml:space="preserve"> </w:t>
            </w:r>
          </w:p>
        </w:tc>
      </w:tr>
      <w:tr w:rsidR="00013F6B" w14:paraId="77A46C34" w14:textId="77777777" w:rsidTr="00013F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46C32" w14:textId="77777777" w:rsidR="00FC045E" w:rsidRPr="00996FAF" w:rsidRDefault="004A316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A46C33" w14:textId="5B8C93C6" w:rsidR="00FC045E" w:rsidRPr="00996FAF" w:rsidRDefault="00830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0B76">
                  <w:rPr>
                    <w:rFonts w:ascii="Arial" w:hAnsi="Arial" w:cs="Arial"/>
                    <w:b/>
                  </w:rPr>
                  <w:t>Not applicable as not all requirements have been assessed</w:t>
                </w:r>
              </w:sdtContent>
            </w:sdt>
            <w:r w:rsidR="004A316E" w:rsidRPr="00996FAF">
              <w:rPr>
                <w:rFonts w:ascii="Arial" w:hAnsi="Arial" w:cs="Arial"/>
                <w:b/>
              </w:rPr>
              <w:t xml:space="preserve"> </w:t>
            </w:r>
          </w:p>
        </w:tc>
      </w:tr>
    </w:tbl>
    <w:p w14:paraId="77A46C44" w14:textId="77777777" w:rsidR="00FC045E" w:rsidRPr="00996FAF" w:rsidRDefault="004A31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A46C45" w14:textId="77777777" w:rsidR="00FC045E" w:rsidRPr="00996FAF" w:rsidRDefault="004A316E" w:rsidP="00712752">
      <w:pPr>
        <w:pStyle w:val="Heading1"/>
        <w:spacing w:before="0" w:after="240" w:line="22" w:lineRule="atLeast"/>
        <w:rPr>
          <w:rFonts w:ascii="Arial" w:hAnsi="Arial" w:cs="Arial"/>
        </w:rPr>
      </w:pPr>
      <w:r w:rsidRPr="00996FAF">
        <w:rPr>
          <w:rFonts w:ascii="Arial" w:hAnsi="Arial" w:cs="Arial"/>
        </w:rPr>
        <w:t>Areas for improvement</w:t>
      </w:r>
    </w:p>
    <w:p w14:paraId="77A46C47" w14:textId="77777777" w:rsidR="00FC045E" w:rsidRPr="00996FAF" w:rsidRDefault="004A31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7A46C4C" w14:textId="299EB65F" w:rsidR="00FC045E" w:rsidRPr="00996FAF" w:rsidRDefault="004A316E" w:rsidP="0036130C">
      <w:pPr>
        <w:pStyle w:val="NormalArial"/>
      </w:pPr>
      <w:r w:rsidRPr="00996FAF">
        <w:br w:type="page"/>
      </w:r>
    </w:p>
    <w:p w14:paraId="77A46C6F" w14:textId="77777777" w:rsidR="00FC045E" w:rsidRPr="00996FAF" w:rsidRDefault="004A31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13F6B" w14:paraId="77A46C72" w14:textId="77777777" w:rsidTr="00013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A46C70" w14:textId="77777777" w:rsidR="00FC045E" w:rsidRPr="0075021E" w:rsidRDefault="004A316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A46C71" w14:textId="77777777" w:rsidR="00FC045E" w:rsidRPr="00996FAF" w:rsidRDefault="00830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F6B" w14:paraId="77A46C76" w14:textId="77777777" w:rsidTr="00013F6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A46C73" w14:textId="77777777" w:rsidR="00FC045E" w:rsidRPr="00996FAF" w:rsidRDefault="004A316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A46C74" w14:textId="77777777" w:rsidR="00FC045E" w:rsidRPr="00996FAF" w:rsidRDefault="004A31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A46C75" w14:textId="7F76E10C" w:rsidR="00FC045E" w:rsidRPr="00996FAF" w:rsidRDefault="00830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A316E">
                  <w:rPr>
                    <w:rFonts w:ascii="Arial" w:hAnsi="Arial" w:cs="Arial"/>
                    <w:color w:val="auto"/>
                  </w:rPr>
                  <w:t>Compliant</w:t>
                </w:r>
              </w:sdtContent>
            </w:sdt>
            <w:r w:rsidR="004A316E" w:rsidRPr="00996FAF">
              <w:rPr>
                <w:rFonts w:ascii="Arial" w:hAnsi="Arial" w:cs="Arial"/>
                <w:color w:val="0000FF"/>
              </w:rPr>
              <w:t xml:space="preserve"> </w:t>
            </w:r>
          </w:p>
        </w:tc>
      </w:tr>
    </w:tbl>
    <w:p w14:paraId="77A46C89" w14:textId="77777777" w:rsidR="00D87E7C" w:rsidRDefault="004A316E" w:rsidP="00D87E7C">
      <w:pPr>
        <w:pStyle w:val="Heading20"/>
      </w:pPr>
      <w:r w:rsidRPr="00996FAF">
        <w:t>Findings</w:t>
      </w:r>
    </w:p>
    <w:p w14:paraId="07E316EC" w14:textId="77777777" w:rsidR="0052191E" w:rsidRDefault="0052191E" w:rsidP="0036130C">
      <w:pPr>
        <w:pStyle w:val="NormalArial"/>
      </w:pPr>
      <w:r w:rsidRPr="0052191E">
        <w:t>Consumers</w:t>
      </w:r>
      <w:r>
        <w:t xml:space="preserve"> and </w:t>
      </w:r>
      <w:r w:rsidRPr="0052191E">
        <w:t xml:space="preserve">representatives </w:t>
      </w:r>
      <w:r>
        <w:t>were</w:t>
      </w:r>
      <w:r w:rsidRPr="0052191E">
        <w:t xml:space="preserve"> included in and </w:t>
      </w:r>
      <w:r>
        <w:t>were</w:t>
      </w:r>
      <w:r w:rsidRPr="0052191E">
        <w:t xml:space="preserve"> satisfied with the service's assessment and care planning processes. Care documentation include</w:t>
      </w:r>
      <w:r>
        <w:t>d</w:t>
      </w:r>
      <w:r w:rsidRPr="0052191E">
        <w:t xml:space="preserve"> relevant assessment and risk identification such as falls, changed behaviours, skin integrity, infectious conditions, and specialised care needs. Registered staff described the assessment and care plan development processes that identif</w:t>
      </w:r>
      <w:r>
        <w:t>ied</w:t>
      </w:r>
      <w:r w:rsidRPr="0052191E">
        <w:t xml:space="preserve"> risks to consumers</w:t>
      </w:r>
      <w:r>
        <w:t>’</w:t>
      </w:r>
      <w:r w:rsidRPr="0052191E">
        <w:t xml:space="preserve"> health, safety, and well-being.</w:t>
      </w:r>
      <w:r>
        <w:t xml:space="preserve"> C</w:t>
      </w:r>
      <w:r w:rsidRPr="0052191E">
        <w:t xml:space="preserve">onsumer care documentation evidenced the service’s assessment and planning processes to identify consumers' needs, goals and preferences and any related risks to their health and well-being. </w:t>
      </w:r>
    </w:p>
    <w:p w14:paraId="781343A3" w14:textId="124285F3" w:rsidR="0052191E" w:rsidRDefault="0052191E" w:rsidP="0052191E">
      <w:pPr>
        <w:pStyle w:val="NormalArial"/>
      </w:pPr>
      <w:r>
        <w:t xml:space="preserve">Staff </w:t>
      </w:r>
      <w:r w:rsidR="00DF6D31">
        <w:t>described</w:t>
      </w:r>
      <w:r>
        <w:t xml:space="preserve">, and review of care documentation confirmed, other health professionals such as a medical officer, physiotherapist, </w:t>
      </w:r>
      <w:r w:rsidR="00DF6D31">
        <w:t>geriatrician,</w:t>
      </w:r>
      <w:r>
        <w:t xml:space="preserve"> or dietitian </w:t>
      </w:r>
      <w:r w:rsidR="00DF6D31">
        <w:t>were</w:t>
      </w:r>
      <w:r>
        <w:t xml:space="preserve"> included in assessment and planning for consumers. The service use</w:t>
      </w:r>
      <w:r w:rsidR="00DF6D31">
        <w:t>d</w:t>
      </w:r>
      <w:r>
        <w:t xml:space="preserve"> an electronic care management system</w:t>
      </w:r>
      <w:r w:rsidR="00DF6D31">
        <w:t>,</w:t>
      </w:r>
      <w:r>
        <w:t xml:space="preserve"> which guide</w:t>
      </w:r>
      <w:r w:rsidR="00DF6D31">
        <w:t>d</w:t>
      </w:r>
      <w:r>
        <w:t xml:space="preserve"> registered staff assessments to be completed as part of the initial consumer assessment and provide</w:t>
      </w:r>
      <w:r w:rsidR="00DF6D31">
        <w:t>d</w:t>
      </w:r>
      <w:r>
        <w:t xml:space="preserve"> alerts when assessments </w:t>
      </w:r>
      <w:r w:rsidR="00DF6D31">
        <w:t>were</w:t>
      </w:r>
      <w:r>
        <w:t xml:space="preserve"> due. Care plans </w:t>
      </w:r>
      <w:r w:rsidR="00DF6D31">
        <w:t>were</w:t>
      </w:r>
      <w:r>
        <w:t xml:space="preserve"> reviewed every three months or triggered by a change in consumer condition.</w:t>
      </w:r>
      <w:r w:rsidR="00DF6D31">
        <w:t xml:space="preserve"> </w:t>
      </w:r>
      <w:r>
        <w:t xml:space="preserve">Registered staff </w:t>
      </w:r>
      <w:r w:rsidR="00DF6D31">
        <w:t>confirmed</w:t>
      </w:r>
      <w:r>
        <w:t xml:space="preserve"> the outcomes of assessments </w:t>
      </w:r>
      <w:r w:rsidR="00DF6D31">
        <w:t>were</w:t>
      </w:r>
      <w:r>
        <w:t xml:space="preserve"> documented in care plans and discussed with the consumer</w:t>
      </w:r>
      <w:r w:rsidR="00DF6D31">
        <w:t xml:space="preserve"> or </w:t>
      </w:r>
      <w:r>
        <w:t>representative. Care staff advised this information guide</w:t>
      </w:r>
      <w:r w:rsidR="00DF6D31">
        <w:t>d</w:t>
      </w:r>
      <w:r>
        <w:t xml:space="preserve"> them in delivering safe and effective care.</w:t>
      </w:r>
      <w:r w:rsidR="00DF6D31">
        <w:t xml:space="preserve"> </w:t>
      </w:r>
      <w:r>
        <w:t>The organisation ha</w:t>
      </w:r>
      <w:r w:rsidR="00DF6D31">
        <w:t>d</w:t>
      </w:r>
      <w:r>
        <w:t xml:space="preserve"> policies and procedures to guide staff practice regarding consumer assessment and care planning.</w:t>
      </w:r>
    </w:p>
    <w:p w14:paraId="77A46C8A" w14:textId="7A7F7CC9" w:rsidR="0087700C" w:rsidRPr="00334B7D" w:rsidRDefault="004A316E" w:rsidP="0036130C">
      <w:pPr>
        <w:pStyle w:val="NormalArial"/>
      </w:pPr>
      <w:r w:rsidRPr="00996FAF">
        <w:br w:type="page"/>
      </w:r>
    </w:p>
    <w:p w14:paraId="77A46C8B" w14:textId="77777777" w:rsidR="00FC045E" w:rsidRPr="00996FAF" w:rsidRDefault="004A31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13F6B" w14:paraId="77A46C8E" w14:textId="77777777" w:rsidTr="00521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7A46C8C" w14:textId="77777777" w:rsidR="00FC045E" w:rsidRPr="00996FAF" w:rsidRDefault="004A316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A46C8D" w14:textId="77777777" w:rsidR="00FC045E" w:rsidRPr="00996FAF" w:rsidRDefault="0083065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3F6B" w14:paraId="77A46C95" w14:textId="77777777" w:rsidTr="00013F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46C8F" w14:textId="77777777" w:rsidR="00FC045E" w:rsidRPr="00996FAF" w:rsidRDefault="004A316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A46C90" w14:textId="77777777" w:rsidR="00FC045E" w:rsidRPr="00996FAF" w:rsidRDefault="004A31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A46C91" w14:textId="77777777" w:rsidR="00FC045E" w:rsidRPr="00996FAF" w:rsidRDefault="004A31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A46C92" w14:textId="77777777" w:rsidR="00FC045E" w:rsidRPr="00996FAF" w:rsidRDefault="004A31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A46C93" w14:textId="77777777" w:rsidR="00FC045E" w:rsidRPr="00996FAF" w:rsidRDefault="004A31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A46C94" w14:textId="5533835F" w:rsidR="00FC045E" w:rsidRPr="00996FAF" w:rsidRDefault="00830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316E">
                  <w:rPr>
                    <w:rFonts w:ascii="Arial" w:hAnsi="Arial" w:cs="Arial"/>
                    <w:color w:val="auto"/>
                  </w:rPr>
                  <w:t>Compliant</w:t>
                </w:r>
              </w:sdtContent>
            </w:sdt>
            <w:r w:rsidR="004A316E" w:rsidRPr="00996FAF">
              <w:rPr>
                <w:rFonts w:ascii="Arial" w:hAnsi="Arial" w:cs="Arial"/>
                <w:color w:val="0000FF"/>
              </w:rPr>
              <w:t xml:space="preserve"> </w:t>
            </w:r>
          </w:p>
        </w:tc>
      </w:tr>
      <w:tr w:rsidR="00013F6B" w14:paraId="77A46CA1" w14:textId="77777777" w:rsidTr="00013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46C9E" w14:textId="77777777" w:rsidR="00FC045E" w:rsidRPr="00996FAF" w:rsidRDefault="004A316E" w:rsidP="00B31E03">
            <w:pPr>
              <w:spacing w:line="22" w:lineRule="atLeast"/>
              <w:rPr>
                <w:rFonts w:ascii="Arial" w:hAnsi="Arial" w:cs="Arial"/>
                <w:color w:val="auto"/>
              </w:rPr>
            </w:pPr>
            <w:bookmarkStart w:id="1" w:name="_Hlk138415757"/>
            <w:r w:rsidRPr="00996FAF">
              <w:rPr>
                <w:rFonts w:ascii="Arial" w:hAnsi="Arial" w:cs="Arial"/>
                <w:color w:val="auto"/>
              </w:rPr>
              <w:t>Requirement 3(3)(d)</w:t>
            </w:r>
          </w:p>
        </w:tc>
        <w:tc>
          <w:tcPr>
            <w:tcW w:w="6350" w:type="dxa"/>
            <w:shd w:val="clear" w:color="auto" w:fill="auto"/>
            <w:vAlign w:val="top"/>
          </w:tcPr>
          <w:p w14:paraId="77A46C9F" w14:textId="77777777" w:rsidR="00FC045E" w:rsidRPr="00996FAF" w:rsidRDefault="004A31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7A46CA0" w14:textId="50831511" w:rsidR="00FC045E" w:rsidRPr="00996FAF" w:rsidRDefault="0083065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A316E">
                  <w:rPr>
                    <w:rFonts w:ascii="Arial" w:hAnsi="Arial" w:cs="Arial"/>
                    <w:color w:val="auto"/>
                  </w:rPr>
                  <w:t>Compliant</w:t>
                </w:r>
              </w:sdtContent>
            </w:sdt>
            <w:r w:rsidR="004A316E" w:rsidRPr="00996FAF">
              <w:rPr>
                <w:rFonts w:ascii="Arial" w:hAnsi="Arial" w:cs="Arial"/>
                <w:color w:val="0000FF"/>
              </w:rPr>
              <w:t xml:space="preserve"> </w:t>
            </w:r>
          </w:p>
        </w:tc>
      </w:tr>
    </w:tbl>
    <w:bookmarkEnd w:id="1"/>
    <w:p w14:paraId="3C19EA9B" w14:textId="6171390B" w:rsidR="00384614" w:rsidRDefault="004A316E" w:rsidP="00087873">
      <w:pPr>
        <w:pStyle w:val="Heading20"/>
      </w:pPr>
      <w:r w:rsidRPr="00996FAF">
        <w:t>Findings</w:t>
      </w:r>
    </w:p>
    <w:p w14:paraId="4D2A3565" w14:textId="77777777" w:rsidR="00087873" w:rsidRPr="00E15F34" w:rsidRDefault="00DF6D31" w:rsidP="00087873">
      <w:pPr>
        <w:pStyle w:val="NormalArial"/>
      </w:pPr>
      <w:r w:rsidRPr="00E15F34">
        <w:t>Requirement 3(3)(a) Each consumer gets safe and effective personal care, clinical care, or both personal care and clinical care, that:</w:t>
      </w:r>
    </w:p>
    <w:p w14:paraId="6842C1B2" w14:textId="640DA659" w:rsidR="00087873" w:rsidRPr="00E15F34" w:rsidRDefault="00DF6D31" w:rsidP="00087873">
      <w:pPr>
        <w:pStyle w:val="NormalArial"/>
        <w:numPr>
          <w:ilvl w:val="0"/>
          <w:numId w:val="12"/>
        </w:numPr>
      </w:pPr>
      <w:r w:rsidRPr="00E15F34">
        <w:t>is best practice; and</w:t>
      </w:r>
    </w:p>
    <w:p w14:paraId="59A76F57" w14:textId="44A24DCD" w:rsidR="00087873" w:rsidRPr="00E15F34" w:rsidRDefault="00DF6D31" w:rsidP="00087873">
      <w:pPr>
        <w:pStyle w:val="NormalArial"/>
        <w:numPr>
          <w:ilvl w:val="0"/>
          <w:numId w:val="12"/>
        </w:numPr>
      </w:pPr>
      <w:r w:rsidRPr="00E15F34">
        <w:t>is tailored to their needs; and</w:t>
      </w:r>
    </w:p>
    <w:p w14:paraId="6F94C828" w14:textId="0C9882B4" w:rsidR="00DF6D31" w:rsidRPr="00E15F34" w:rsidRDefault="00DF6D31" w:rsidP="00087873">
      <w:pPr>
        <w:pStyle w:val="NormalArial"/>
        <w:numPr>
          <w:ilvl w:val="0"/>
          <w:numId w:val="12"/>
        </w:numPr>
      </w:pPr>
      <w:r w:rsidRPr="00E15F34">
        <w:t>optimises their health and well-being.</w:t>
      </w:r>
    </w:p>
    <w:p w14:paraId="746CCF2A" w14:textId="2BF118B9" w:rsidR="004165FA" w:rsidRDefault="00DF6D31" w:rsidP="0036130C">
      <w:pPr>
        <w:pStyle w:val="NormalArial"/>
      </w:pPr>
      <w:r w:rsidRPr="00DF6D31">
        <w:t>Consumers</w:t>
      </w:r>
      <w:r w:rsidR="004165FA">
        <w:t xml:space="preserve"> and </w:t>
      </w:r>
      <w:r w:rsidRPr="00DF6D31">
        <w:t xml:space="preserve">representatives </w:t>
      </w:r>
      <w:r w:rsidR="004165FA">
        <w:t>were</w:t>
      </w:r>
      <w:r w:rsidRPr="00DF6D31">
        <w:t xml:space="preserve"> satisfied with the personal and clinical care consumers are receiving. The service demonstrated effective assessment, </w:t>
      </w:r>
      <w:r w:rsidR="004165FA" w:rsidRPr="00DF6D31">
        <w:t>management,</w:t>
      </w:r>
      <w:r w:rsidRPr="00DF6D31">
        <w:t xml:space="preserve"> and evaluation of consumers’ care needs. Care planning documentation identified consumers’ clinical </w:t>
      </w:r>
      <w:r w:rsidR="004165FA">
        <w:t>was</w:t>
      </w:r>
      <w:r w:rsidRPr="00DF6D31">
        <w:t xml:space="preserve"> tailored to their individual needs and changes </w:t>
      </w:r>
      <w:r w:rsidR="004165FA">
        <w:t>were</w:t>
      </w:r>
      <w:r w:rsidRPr="00DF6D31">
        <w:t xml:space="preserve"> made to consumers’ care when their circumstances </w:t>
      </w:r>
      <w:r w:rsidR="004165FA" w:rsidRPr="00DF6D31">
        <w:t>change,</w:t>
      </w:r>
      <w:r w:rsidRPr="00DF6D31">
        <w:t xml:space="preserve"> or incidents occur. Staff demonstrated knowledge of individual consumers’ needs and clinical care. Care documentation support</w:t>
      </w:r>
      <w:r w:rsidR="004165FA">
        <w:t>ed</w:t>
      </w:r>
      <w:r w:rsidRPr="00DF6D31">
        <w:t xml:space="preserve"> wounds </w:t>
      </w:r>
      <w:r w:rsidR="004165FA">
        <w:t>were</w:t>
      </w:r>
      <w:r w:rsidRPr="00DF6D31">
        <w:t xml:space="preserve"> consistently attended to in accordance with consumers’ wound management plans</w:t>
      </w:r>
      <w:r w:rsidR="004165FA">
        <w:t>.</w:t>
      </w:r>
    </w:p>
    <w:p w14:paraId="734BFD2D" w14:textId="1C135619" w:rsidR="004165FA" w:rsidRDefault="004165FA" w:rsidP="0036130C">
      <w:pPr>
        <w:pStyle w:val="NormalArial"/>
      </w:pPr>
      <w:r w:rsidRPr="004165FA">
        <w:t xml:space="preserve">The service has identified there are 30 consumers subject to environmental restrictive practice in a memory support unit and 16 </w:t>
      </w:r>
      <w:r>
        <w:t xml:space="preserve">consumers were </w:t>
      </w:r>
      <w:r w:rsidRPr="004165FA">
        <w:t>subject to chemical restrictive practice. Care documentation for consumers who were identified as subject to restrictive practices ha</w:t>
      </w:r>
      <w:r>
        <w:t>d</w:t>
      </w:r>
      <w:r w:rsidRPr="004165FA">
        <w:t xml:space="preserve"> a risk assessment, medical officer authorisation, consent and behaviour support plans completed. </w:t>
      </w:r>
      <w:r w:rsidR="00DF227E">
        <w:t xml:space="preserve">For one named consumer who receives anti-psychotic medication, the service had not identified this constituted chemical restraint. In the Approved provider’s response to the Assessment contact-site report, the named consumer now has the appropriate assessment and authorisation for the chemical restraint. </w:t>
      </w:r>
      <w:r w:rsidRPr="004165FA">
        <w:t>The service ha</w:t>
      </w:r>
      <w:r>
        <w:t>d</w:t>
      </w:r>
      <w:r w:rsidRPr="004165FA">
        <w:t xml:space="preserve"> a range of tools and charts available for use in the </w:t>
      </w:r>
      <w:r>
        <w:t>electronic care system</w:t>
      </w:r>
      <w:r w:rsidRPr="004165FA">
        <w:t xml:space="preserve"> which guide</w:t>
      </w:r>
      <w:r>
        <w:t>d</w:t>
      </w:r>
      <w:r w:rsidRPr="004165FA">
        <w:t xml:space="preserve"> staff to deliver best practice care and support for consumers.</w:t>
      </w:r>
    </w:p>
    <w:p w14:paraId="0F9E5BEB" w14:textId="07F06DB0" w:rsidR="004165FA" w:rsidRPr="00356ACD" w:rsidRDefault="004165FA" w:rsidP="0036130C">
      <w:pPr>
        <w:pStyle w:val="NormalArial"/>
      </w:pPr>
      <w:r w:rsidRPr="00356ACD">
        <w:t>Requirement 3(3)(d) Deterioration or change of a consumer’s mental health, cognitive or physical function, capacity or condition is recognised and responded to in a timely manner.</w:t>
      </w:r>
    </w:p>
    <w:p w14:paraId="2DACA5BF" w14:textId="45D73837" w:rsidR="004165FA" w:rsidRDefault="004165FA" w:rsidP="0036130C">
      <w:pPr>
        <w:pStyle w:val="NormalArial"/>
      </w:pPr>
      <w:r w:rsidRPr="004165FA">
        <w:t>Consumers’ care planning documentation reflect</w:t>
      </w:r>
      <w:r>
        <w:t>ed</w:t>
      </w:r>
      <w:r w:rsidRPr="004165FA">
        <w:t xml:space="preserve"> the identification of, and response to, deterioration or changes in their condition. Registered staff explained the assessment process following changes to a consumer’s condition. Staff said they report changes to the clinical manager and/or clinical nurse. If a consumer deteriorate</w:t>
      </w:r>
      <w:r>
        <w:t>d</w:t>
      </w:r>
      <w:r w:rsidRPr="004165FA">
        <w:t xml:space="preserve"> after business hours, staff could contact an after-hours </w:t>
      </w:r>
      <w:proofErr w:type="gramStart"/>
      <w:r w:rsidRPr="004165FA">
        <w:t>M</w:t>
      </w:r>
      <w:r>
        <w:t>edical</w:t>
      </w:r>
      <w:proofErr w:type="gramEnd"/>
      <w:r>
        <w:t xml:space="preserve"> officer </w:t>
      </w:r>
      <w:r w:rsidRPr="004165FA">
        <w:t>or transfer the consumer to hospital. Clinical records indicate</w:t>
      </w:r>
      <w:r>
        <w:t xml:space="preserve">d </w:t>
      </w:r>
      <w:r w:rsidRPr="004165FA">
        <w:t xml:space="preserve">consumers </w:t>
      </w:r>
      <w:r>
        <w:t>were</w:t>
      </w:r>
      <w:r w:rsidRPr="004165FA">
        <w:t xml:space="preserve"> monitored by registered staff and if deterioration or change of a condition occur</w:t>
      </w:r>
      <w:r>
        <w:t>red</w:t>
      </w:r>
      <w:r w:rsidRPr="004165FA">
        <w:t xml:space="preserve">, this </w:t>
      </w:r>
      <w:r>
        <w:t>was</w:t>
      </w:r>
      <w:r w:rsidRPr="004165FA">
        <w:t xml:space="preserve"> recognised and responded to in a timely manner and representatives </w:t>
      </w:r>
      <w:r>
        <w:t>were</w:t>
      </w:r>
      <w:r w:rsidRPr="004165FA">
        <w:t xml:space="preserve"> notified.</w:t>
      </w:r>
    </w:p>
    <w:p w14:paraId="6C9462B4" w14:textId="5265D778" w:rsidR="004165FA" w:rsidRDefault="004165FA" w:rsidP="0036130C">
      <w:pPr>
        <w:pStyle w:val="NormalArial"/>
      </w:pPr>
      <w:r>
        <w:lastRenderedPageBreak/>
        <w:t>For one named consumer who sustained burns to their legs which subsequently became infected, the Assessment contact-site report includes information the service failed to recognise this incident was a reportable incident to the Serious incident response scheme</w:t>
      </w:r>
      <w:r w:rsidR="00DF227E">
        <w:t xml:space="preserve">. Following feedback, a retrospective incident form was submitted to the Serious incident response scheme. </w:t>
      </w:r>
    </w:p>
    <w:p w14:paraId="2807FF45" w14:textId="4BC6007A" w:rsidR="00DF227E" w:rsidRPr="004165FA" w:rsidRDefault="00DF227E" w:rsidP="00DF227E">
      <w:pPr>
        <w:pStyle w:val="NormalArial"/>
      </w:pPr>
      <w:r>
        <w:t xml:space="preserve">Staff described how changes in consumers’ condition were communicated through progress notes and at handover. Handover notes provided details of consumers current care needs and any changes to consumers’ condition. Staff had access to clinical information to guide them in recognising and responding to a deterioration or changes in a consumer’s condition which were available in nurses’ stations. Registered staff were available 24 hours a day, seven days a week at the service. Other specialist care services were available including a </w:t>
      </w:r>
      <w:proofErr w:type="gramStart"/>
      <w:r>
        <w:t>physiotherapist,  podiatrist</w:t>
      </w:r>
      <w:proofErr w:type="gramEnd"/>
      <w:r>
        <w:t>, dietitian and speech pathologist.</w:t>
      </w:r>
    </w:p>
    <w:sectPr w:rsidR="00DF227E" w:rsidRPr="004165F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46D4E" w14:textId="77777777" w:rsidR="00477093" w:rsidRDefault="004A316E">
      <w:pPr>
        <w:spacing w:after="0"/>
      </w:pPr>
      <w:r>
        <w:separator/>
      </w:r>
    </w:p>
  </w:endnote>
  <w:endnote w:type="continuationSeparator" w:id="0">
    <w:p w14:paraId="77A46D50" w14:textId="77777777" w:rsidR="00477093" w:rsidRDefault="004A31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B031" w14:textId="77777777" w:rsidR="00384614" w:rsidRDefault="00384614" w:rsidP="00DF37F2">
    <w:pPr>
      <w:pStyle w:val="FooterArial9"/>
      <w:rPr>
        <w:rStyle w:val="FooterBold"/>
        <w:rFonts w:ascii="Arial" w:hAnsi="Arial"/>
        <w:b w:val="0"/>
      </w:rPr>
    </w:pPr>
  </w:p>
  <w:p w14:paraId="77A46D47" w14:textId="44580098" w:rsidR="00DF37F2" w:rsidRPr="00DF37F2" w:rsidRDefault="004A316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Anam</w:t>
    </w:r>
    <w:proofErr w:type="spellEnd"/>
    <w:r w:rsidRPr="00DF37F2">
      <w:rPr>
        <w:rStyle w:val="FooterBold"/>
        <w:rFonts w:ascii="Arial" w:hAnsi="Arial"/>
        <w:b w:val="0"/>
      </w:rPr>
      <w:t xml:space="preserve"> Cara</w:t>
    </w:r>
    <w:r w:rsidRPr="00DF37F2">
      <w:rPr>
        <w:rStyle w:val="FooterBold"/>
        <w:rFonts w:ascii="Arial" w:hAnsi="Arial"/>
        <w:b w:val="0"/>
      </w:rPr>
      <w:tab/>
      <w:t xml:space="preserve">RPT-ACC-0122 v3.0 </w:t>
    </w:r>
  </w:p>
  <w:p w14:paraId="77A46D48" w14:textId="77777777" w:rsidR="00DF37F2" w:rsidRPr="00DF37F2" w:rsidRDefault="004A316E" w:rsidP="00DF37F2">
    <w:pPr>
      <w:pStyle w:val="FooterArial9"/>
      <w:rPr>
        <w:rStyle w:val="FooterBold"/>
        <w:rFonts w:ascii="Arial" w:hAnsi="Arial"/>
        <w:b w:val="0"/>
      </w:rPr>
    </w:pPr>
    <w:r w:rsidRPr="00DF37F2">
      <w:rPr>
        <w:rStyle w:val="FooterBold"/>
        <w:rFonts w:ascii="Arial" w:hAnsi="Arial"/>
        <w:b w:val="0"/>
      </w:rPr>
      <w:t>Commission ID: 5355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7A46D49" w14:textId="77777777" w:rsidR="00DF37F2" w:rsidRPr="00DF37F2" w:rsidRDefault="004A31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6D4B" w14:textId="77777777" w:rsidR="00E2364A" w:rsidRDefault="008306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46D44" w14:textId="77777777" w:rsidR="00D3157C" w:rsidRDefault="004A316E" w:rsidP="00D71F88">
      <w:pPr>
        <w:spacing w:after="0"/>
      </w:pPr>
      <w:r>
        <w:separator/>
      </w:r>
    </w:p>
  </w:footnote>
  <w:footnote w:type="continuationSeparator" w:id="0">
    <w:p w14:paraId="77A46D45" w14:textId="77777777" w:rsidR="00D3157C" w:rsidRDefault="004A316E" w:rsidP="00D71F88">
      <w:pPr>
        <w:spacing w:after="0"/>
      </w:pPr>
      <w:r>
        <w:continuationSeparator/>
      </w:r>
    </w:p>
  </w:footnote>
  <w:footnote w:id="1">
    <w:p w14:paraId="77A46D51" w14:textId="012EA292" w:rsidR="002B0884" w:rsidRPr="00384614" w:rsidRDefault="004A316E" w:rsidP="0038461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2191E">
        <w:rPr>
          <w:rFonts w:ascii="Arial" w:hAnsi="Arial" w:cs="Arial"/>
          <w:color w:val="auto"/>
          <w:sz w:val="20"/>
          <w:szCs w:val="20"/>
        </w:rPr>
        <w:t>section 68A</w:t>
      </w:r>
      <w:r w:rsidRPr="0052191E">
        <w:rPr>
          <w:rFonts w:ascii="Arial" w:hAnsi="Arial" w:cs="Arial"/>
          <w:b/>
          <w:color w:val="auto"/>
          <w:sz w:val="20"/>
          <w:szCs w:val="20"/>
        </w:rPr>
        <w:t xml:space="preserve"> </w:t>
      </w:r>
      <w:r w:rsidRPr="0052191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6D46" w14:textId="77777777" w:rsidR="00D71F88" w:rsidRDefault="004A316E">
    <w:pPr>
      <w:pStyle w:val="Header"/>
    </w:pPr>
    <w:r>
      <w:rPr>
        <w:noProof/>
        <w:color w:val="2B579A"/>
        <w:shd w:val="clear" w:color="auto" w:fill="E6E6E6"/>
        <w:lang w:val="en-US"/>
      </w:rPr>
      <w:drawing>
        <wp:anchor distT="0" distB="0" distL="114300" distR="114300" simplePos="0" relativeHeight="251659264" behindDoc="1" locked="0" layoutInCell="1" allowOverlap="1" wp14:anchorId="77A46D4C" wp14:editId="77A46D4D">
          <wp:simplePos x="0" y="0"/>
          <wp:positionH relativeFrom="page">
            <wp:posOffset>0</wp:posOffset>
          </wp:positionH>
          <wp:positionV relativeFrom="page">
            <wp:posOffset>488</wp:posOffset>
          </wp:positionV>
          <wp:extent cx="7560000" cy="939600"/>
          <wp:effectExtent l="0" t="0" r="3175" b="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741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6D4A" w14:textId="77777777" w:rsidR="00FA0A5B" w:rsidRDefault="004A316E">
    <w:pPr>
      <w:pStyle w:val="Header"/>
    </w:pPr>
    <w:r>
      <w:rPr>
        <w:noProof/>
      </w:rPr>
      <w:drawing>
        <wp:anchor distT="0" distB="0" distL="114300" distR="114300" simplePos="0" relativeHeight="251658240" behindDoc="0" locked="0" layoutInCell="1" allowOverlap="1" wp14:anchorId="77A46D4E" wp14:editId="77A46D4F">
          <wp:simplePos x="0" y="0"/>
          <wp:positionH relativeFrom="page">
            <wp:posOffset>17585</wp:posOffset>
          </wp:positionH>
          <wp:positionV relativeFrom="page">
            <wp:posOffset>224302</wp:posOffset>
          </wp:positionV>
          <wp:extent cx="7560000" cy="651600"/>
          <wp:effectExtent l="0" t="0" r="3175" b="0"/>
          <wp:wrapTopAndBottom/>
          <wp:docPr id="13" name="Picture 1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D2C6FC8">
      <w:start w:val="1"/>
      <w:numFmt w:val="lowerRoman"/>
      <w:lvlText w:val="(%1)"/>
      <w:lvlJc w:val="left"/>
      <w:pPr>
        <w:ind w:left="1080" w:hanging="720"/>
      </w:pPr>
      <w:rPr>
        <w:rFonts w:hint="default"/>
      </w:rPr>
    </w:lvl>
    <w:lvl w:ilvl="1" w:tplc="AE90392C" w:tentative="1">
      <w:start w:val="1"/>
      <w:numFmt w:val="lowerLetter"/>
      <w:lvlText w:val="%2."/>
      <w:lvlJc w:val="left"/>
      <w:pPr>
        <w:ind w:left="1440" w:hanging="360"/>
      </w:pPr>
    </w:lvl>
    <w:lvl w:ilvl="2" w:tplc="BCD60D44" w:tentative="1">
      <w:start w:val="1"/>
      <w:numFmt w:val="lowerRoman"/>
      <w:lvlText w:val="%3."/>
      <w:lvlJc w:val="right"/>
      <w:pPr>
        <w:ind w:left="2160" w:hanging="180"/>
      </w:pPr>
    </w:lvl>
    <w:lvl w:ilvl="3" w:tplc="257C5DF8" w:tentative="1">
      <w:start w:val="1"/>
      <w:numFmt w:val="decimal"/>
      <w:lvlText w:val="%4."/>
      <w:lvlJc w:val="left"/>
      <w:pPr>
        <w:ind w:left="2880" w:hanging="360"/>
      </w:pPr>
    </w:lvl>
    <w:lvl w:ilvl="4" w:tplc="53A68636" w:tentative="1">
      <w:start w:val="1"/>
      <w:numFmt w:val="lowerLetter"/>
      <w:lvlText w:val="%5."/>
      <w:lvlJc w:val="left"/>
      <w:pPr>
        <w:ind w:left="3600" w:hanging="360"/>
      </w:pPr>
    </w:lvl>
    <w:lvl w:ilvl="5" w:tplc="553428EA" w:tentative="1">
      <w:start w:val="1"/>
      <w:numFmt w:val="lowerRoman"/>
      <w:lvlText w:val="%6."/>
      <w:lvlJc w:val="right"/>
      <w:pPr>
        <w:ind w:left="4320" w:hanging="180"/>
      </w:pPr>
    </w:lvl>
    <w:lvl w:ilvl="6" w:tplc="F2EE5838" w:tentative="1">
      <w:start w:val="1"/>
      <w:numFmt w:val="decimal"/>
      <w:lvlText w:val="%7."/>
      <w:lvlJc w:val="left"/>
      <w:pPr>
        <w:ind w:left="5040" w:hanging="360"/>
      </w:pPr>
    </w:lvl>
    <w:lvl w:ilvl="7" w:tplc="B7DAC7A2" w:tentative="1">
      <w:start w:val="1"/>
      <w:numFmt w:val="lowerLetter"/>
      <w:lvlText w:val="%8."/>
      <w:lvlJc w:val="left"/>
      <w:pPr>
        <w:ind w:left="5760" w:hanging="360"/>
      </w:pPr>
    </w:lvl>
    <w:lvl w:ilvl="8" w:tplc="4534361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E8A8378">
      <w:start w:val="1"/>
      <w:numFmt w:val="lowerRoman"/>
      <w:lvlText w:val="(%1)"/>
      <w:lvlJc w:val="left"/>
      <w:pPr>
        <w:ind w:left="1080" w:hanging="720"/>
      </w:pPr>
      <w:rPr>
        <w:rFonts w:hint="default"/>
      </w:rPr>
    </w:lvl>
    <w:lvl w:ilvl="1" w:tplc="3A04377C" w:tentative="1">
      <w:start w:val="1"/>
      <w:numFmt w:val="lowerLetter"/>
      <w:lvlText w:val="%2."/>
      <w:lvlJc w:val="left"/>
      <w:pPr>
        <w:ind w:left="1440" w:hanging="360"/>
      </w:pPr>
    </w:lvl>
    <w:lvl w:ilvl="2" w:tplc="F58807B4" w:tentative="1">
      <w:start w:val="1"/>
      <w:numFmt w:val="lowerRoman"/>
      <w:lvlText w:val="%3."/>
      <w:lvlJc w:val="right"/>
      <w:pPr>
        <w:ind w:left="2160" w:hanging="180"/>
      </w:pPr>
    </w:lvl>
    <w:lvl w:ilvl="3" w:tplc="C9D20412" w:tentative="1">
      <w:start w:val="1"/>
      <w:numFmt w:val="decimal"/>
      <w:lvlText w:val="%4."/>
      <w:lvlJc w:val="left"/>
      <w:pPr>
        <w:ind w:left="2880" w:hanging="360"/>
      </w:pPr>
    </w:lvl>
    <w:lvl w:ilvl="4" w:tplc="7AF22842" w:tentative="1">
      <w:start w:val="1"/>
      <w:numFmt w:val="lowerLetter"/>
      <w:lvlText w:val="%5."/>
      <w:lvlJc w:val="left"/>
      <w:pPr>
        <w:ind w:left="3600" w:hanging="360"/>
      </w:pPr>
    </w:lvl>
    <w:lvl w:ilvl="5" w:tplc="FA727E6A" w:tentative="1">
      <w:start w:val="1"/>
      <w:numFmt w:val="lowerRoman"/>
      <w:lvlText w:val="%6."/>
      <w:lvlJc w:val="right"/>
      <w:pPr>
        <w:ind w:left="4320" w:hanging="180"/>
      </w:pPr>
    </w:lvl>
    <w:lvl w:ilvl="6" w:tplc="1DE67D30" w:tentative="1">
      <w:start w:val="1"/>
      <w:numFmt w:val="decimal"/>
      <w:lvlText w:val="%7."/>
      <w:lvlJc w:val="left"/>
      <w:pPr>
        <w:ind w:left="5040" w:hanging="360"/>
      </w:pPr>
    </w:lvl>
    <w:lvl w:ilvl="7" w:tplc="42B233C4" w:tentative="1">
      <w:start w:val="1"/>
      <w:numFmt w:val="lowerLetter"/>
      <w:lvlText w:val="%8."/>
      <w:lvlJc w:val="left"/>
      <w:pPr>
        <w:ind w:left="5760" w:hanging="360"/>
      </w:pPr>
    </w:lvl>
    <w:lvl w:ilvl="8" w:tplc="6248BF1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7D82D02">
      <w:start w:val="1"/>
      <w:numFmt w:val="lowerRoman"/>
      <w:lvlText w:val="(%1)"/>
      <w:lvlJc w:val="left"/>
      <w:pPr>
        <w:ind w:left="1080" w:hanging="720"/>
      </w:pPr>
      <w:rPr>
        <w:rFonts w:hint="default"/>
      </w:rPr>
    </w:lvl>
    <w:lvl w:ilvl="1" w:tplc="359E5D54" w:tentative="1">
      <w:start w:val="1"/>
      <w:numFmt w:val="lowerLetter"/>
      <w:lvlText w:val="%2."/>
      <w:lvlJc w:val="left"/>
      <w:pPr>
        <w:ind w:left="1440" w:hanging="360"/>
      </w:pPr>
    </w:lvl>
    <w:lvl w:ilvl="2" w:tplc="E00CBC7C" w:tentative="1">
      <w:start w:val="1"/>
      <w:numFmt w:val="lowerRoman"/>
      <w:lvlText w:val="%3."/>
      <w:lvlJc w:val="right"/>
      <w:pPr>
        <w:ind w:left="2160" w:hanging="180"/>
      </w:pPr>
    </w:lvl>
    <w:lvl w:ilvl="3" w:tplc="795E71E8" w:tentative="1">
      <w:start w:val="1"/>
      <w:numFmt w:val="decimal"/>
      <w:lvlText w:val="%4."/>
      <w:lvlJc w:val="left"/>
      <w:pPr>
        <w:ind w:left="2880" w:hanging="360"/>
      </w:pPr>
    </w:lvl>
    <w:lvl w:ilvl="4" w:tplc="6B82B5A8" w:tentative="1">
      <w:start w:val="1"/>
      <w:numFmt w:val="lowerLetter"/>
      <w:lvlText w:val="%5."/>
      <w:lvlJc w:val="left"/>
      <w:pPr>
        <w:ind w:left="3600" w:hanging="360"/>
      </w:pPr>
    </w:lvl>
    <w:lvl w:ilvl="5" w:tplc="7DAA7278" w:tentative="1">
      <w:start w:val="1"/>
      <w:numFmt w:val="lowerRoman"/>
      <w:lvlText w:val="%6."/>
      <w:lvlJc w:val="right"/>
      <w:pPr>
        <w:ind w:left="4320" w:hanging="180"/>
      </w:pPr>
    </w:lvl>
    <w:lvl w:ilvl="6" w:tplc="F7089860" w:tentative="1">
      <w:start w:val="1"/>
      <w:numFmt w:val="decimal"/>
      <w:lvlText w:val="%7."/>
      <w:lvlJc w:val="left"/>
      <w:pPr>
        <w:ind w:left="5040" w:hanging="360"/>
      </w:pPr>
    </w:lvl>
    <w:lvl w:ilvl="7" w:tplc="019ADC42" w:tentative="1">
      <w:start w:val="1"/>
      <w:numFmt w:val="lowerLetter"/>
      <w:lvlText w:val="%8."/>
      <w:lvlJc w:val="left"/>
      <w:pPr>
        <w:ind w:left="5760" w:hanging="360"/>
      </w:pPr>
    </w:lvl>
    <w:lvl w:ilvl="8" w:tplc="91C4A93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D83D32">
      <w:start w:val="1"/>
      <w:numFmt w:val="bullet"/>
      <w:lvlText w:val=""/>
      <w:lvlJc w:val="left"/>
      <w:pPr>
        <w:ind w:left="720" w:hanging="360"/>
      </w:pPr>
      <w:rPr>
        <w:rFonts w:ascii="Symbol" w:hAnsi="Symbol" w:hint="default"/>
        <w:color w:val="auto"/>
        <w:sz w:val="24"/>
        <w:szCs w:val="24"/>
      </w:rPr>
    </w:lvl>
    <w:lvl w:ilvl="1" w:tplc="21AE8A96" w:tentative="1">
      <w:start w:val="1"/>
      <w:numFmt w:val="bullet"/>
      <w:lvlText w:val="o"/>
      <w:lvlJc w:val="left"/>
      <w:pPr>
        <w:ind w:left="1440" w:hanging="360"/>
      </w:pPr>
      <w:rPr>
        <w:rFonts w:ascii="Courier New" w:hAnsi="Courier New" w:cs="Courier New" w:hint="default"/>
      </w:rPr>
    </w:lvl>
    <w:lvl w:ilvl="2" w:tplc="054ECA88" w:tentative="1">
      <w:start w:val="1"/>
      <w:numFmt w:val="bullet"/>
      <w:lvlText w:val=""/>
      <w:lvlJc w:val="left"/>
      <w:pPr>
        <w:ind w:left="2160" w:hanging="360"/>
      </w:pPr>
      <w:rPr>
        <w:rFonts w:ascii="Wingdings" w:hAnsi="Wingdings" w:hint="default"/>
      </w:rPr>
    </w:lvl>
    <w:lvl w:ilvl="3" w:tplc="75FEEC30" w:tentative="1">
      <w:start w:val="1"/>
      <w:numFmt w:val="bullet"/>
      <w:lvlText w:val=""/>
      <w:lvlJc w:val="left"/>
      <w:pPr>
        <w:ind w:left="2880" w:hanging="360"/>
      </w:pPr>
      <w:rPr>
        <w:rFonts w:ascii="Symbol" w:hAnsi="Symbol" w:hint="default"/>
      </w:rPr>
    </w:lvl>
    <w:lvl w:ilvl="4" w:tplc="95DA7764" w:tentative="1">
      <w:start w:val="1"/>
      <w:numFmt w:val="bullet"/>
      <w:lvlText w:val="o"/>
      <w:lvlJc w:val="left"/>
      <w:pPr>
        <w:ind w:left="3600" w:hanging="360"/>
      </w:pPr>
      <w:rPr>
        <w:rFonts w:ascii="Courier New" w:hAnsi="Courier New" w:cs="Courier New" w:hint="default"/>
      </w:rPr>
    </w:lvl>
    <w:lvl w:ilvl="5" w:tplc="A4526CE4" w:tentative="1">
      <w:start w:val="1"/>
      <w:numFmt w:val="bullet"/>
      <w:lvlText w:val=""/>
      <w:lvlJc w:val="left"/>
      <w:pPr>
        <w:ind w:left="4320" w:hanging="360"/>
      </w:pPr>
      <w:rPr>
        <w:rFonts w:ascii="Wingdings" w:hAnsi="Wingdings" w:hint="default"/>
      </w:rPr>
    </w:lvl>
    <w:lvl w:ilvl="6" w:tplc="07C44098" w:tentative="1">
      <w:start w:val="1"/>
      <w:numFmt w:val="bullet"/>
      <w:lvlText w:val=""/>
      <w:lvlJc w:val="left"/>
      <w:pPr>
        <w:ind w:left="5040" w:hanging="360"/>
      </w:pPr>
      <w:rPr>
        <w:rFonts w:ascii="Symbol" w:hAnsi="Symbol" w:hint="default"/>
      </w:rPr>
    </w:lvl>
    <w:lvl w:ilvl="7" w:tplc="5274B688" w:tentative="1">
      <w:start w:val="1"/>
      <w:numFmt w:val="bullet"/>
      <w:lvlText w:val="o"/>
      <w:lvlJc w:val="left"/>
      <w:pPr>
        <w:ind w:left="5760" w:hanging="360"/>
      </w:pPr>
      <w:rPr>
        <w:rFonts w:ascii="Courier New" w:hAnsi="Courier New" w:cs="Courier New" w:hint="default"/>
      </w:rPr>
    </w:lvl>
    <w:lvl w:ilvl="8" w:tplc="04185C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ED646EC">
      <w:start w:val="1"/>
      <w:numFmt w:val="lowerRoman"/>
      <w:lvlText w:val="(%1)"/>
      <w:lvlJc w:val="left"/>
      <w:pPr>
        <w:ind w:left="1080" w:hanging="720"/>
      </w:pPr>
      <w:rPr>
        <w:rFonts w:hint="default"/>
      </w:rPr>
    </w:lvl>
    <w:lvl w:ilvl="1" w:tplc="1B5853E8" w:tentative="1">
      <w:start w:val="1"/>
      <w:numFmt w:val="lowerLetter"/>
      <w:lvlText w:val="%2."/>
      <w:lvlJc w:val="left"/>
      <w:pPr>
        <w:ind w:left="1440" w:hanging="360"/>
      </w:pPr>
    </w:lvl>
    <w:lvl w:ilvl="2" w:tplc="7B18BE5A" w:tentative="1">
      <w:start w:val="1"/>
      <w:numFmt w:val="lowerRoman"/>
      <w:lvlText w:val="%3."/>
      <w:lvlJc w:val="right"/>
      <w:pPr>
        <w:ind w:left="2160" w:hanging="180"/>
      </w:pPr>
    </w:lvl>
    <w:lvl w:ilvl="3" w:tplc="004A8912" w:tentative="1">
      <w:start w:val="1"/>
      <w:numFmt w:val="decimal"/>
      <w:lvlText w:val="%4."/>
      <w:lvlJc w:val="left"/>
      <w:pPr>
        <w:ind w:left="2880" w:hanging="360"/>
      </w:pPr>
    </w:lvl>
    <w:lvl w:ilvl="4" w:tplc="EB3C209C" w:tentative="1">
      <w:start w:val="1"/>
      <w:numFmt w:val="lowerLetter"/>
      <w:lvlText w:val="%5."/>
      <w:lvlJc w:val="left"/>
      <w:pPr>
        <w:ind w:left="3600" w:hanging="360"/>
      </w:pPr>
    </w:lvl>
    <w:lvl w:ilvl="5" w:tplc="65804DD4" w:tentative="1">
      <w:start w:val="1"/>
      <w:numFmt w:val="lowerRoman"/>
      <w:lvlText w:val="%6."/>
      <w:lvlJc w:val="right"/>
      <w:pPr>
        <w:ind w:left="4320" w:hanging="180"/>
      </w:pPr>
    </w:lvl>
    <w:lvl w:ilvl="6" w:tplc="27845692" w:tentative="1">
      <w:start w:val="1"/>
      <w:numFmt w:val="decimal"/>
      <w:lvlText w:val="%7."/>
      <w:lvlJc w:val="left"/>
      <w:pPr>
        <w:ind w:left="5040" w:hanging="360"/>
      </w:pPr>
    </w:lvl>
    <w:lvl w:ilvl="7" w:tplc="7CB4844E" w:tentative="1">
      <w:start w:val="1"/>
      <w:numFmt w:val="lowerLetter"/>
      <w:lvlText w:val="%8."/>
      <w:lvlJc w:val="left"/>
      <w:pPr>
        <w:ind w:left="5760" w:hanging="360"/>
      </w:pPr>
    </w:lvl>
    <w:lvl w:ilvl="8" w:tplc="0374B23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E269C9C">
      <w:start w:val="1"/>
      <w:numFmt w:val="lowerRoman"/>
      <w:lvlText w:val="(%1)"/>
      <w:lvlJc w:val="left"/>
      <w:pPr>
        <w:ind w:left="1080" w:hanging="720"/>
      </w:pPr>
      <w:rPr>
        <w:rFonts w:hint="default"/>
      </w:rPr>
    </w:lvl>
    <w:lvl w:ilvl="1" w:tplc="8618E8B4" w:tentative="1">
      <w:start w:val="1"/>
      <w:numFmt w:val="lowerLetter"/>
      <w:lvlText w:val="%2."/>
      <w:lvlJc w:val="left"/>
      <w:pPr>
        <w:ind w:left="1440" w:hanging="360"/>
      </w:pPr>
    </w:lvl>
    <w:lvl w:ilvl="2" w:tplc="E39A1A28" w:tentative="1">
      <w:start w:val="1"/>
      <w:numFmt w:val="lowerRoman"/>
      <w:lvlText w:val="%3."/>
      <w:lvlJc w:val="right"/>
      <w:pPr>
        <w:ind w:left="2160" w:hanging="180"/>
      </w:pPr>
    </w:lvl>
    <w:lvl w:ilvl="3" w:tplc="B2E821C4" w:tentative="1">
      <w:start w:val="1"/>
      <w:numFmt w:val="decimal"/>
      <w:lvlText w:val="%4."/>
      <w:lvlJc w:val="left"/>
      <w:pPr>
        <w:ind w:left="2880" w:hanging="360"/>
      </w:pPr>
    </w:lvl>
    <w:lvl w:ilvl="4" w:tplc="CC1E18FE" w:tentative="1">
      <w:start w:val="1"/>
      <w:numFmt w:val="lowerLetter"/>
      <w:lvlText w:val="%5."/>
      <w:lvlJc w:val="left"/>
      <w:pPr>
        <w:ind w:left="3600" w:hanging="360"/>
      </w:pPr>
    </w:lvl>
    <w:lvl w:ilvl="5" w:tplc="41BAF9B2" w:tentative="1">
      <w:start w:val="1"/>
      <w:numFmt w:val="lowerRoman"/>
      <w:lvlText w:val="%6."/>
      <w:lvlJc w:val="right"/>
      <w:pPr>
        <w:ind w:left="4320" w:hanging="180"/>
      </w:pPr>
    </w:lvl>
    <w:lvl w:ilvl="6" w:tplc="B48CEB6E" w:tentative="1">
      <w:start w:val="1"/>
      <w:numFmt w:val="decimal"/>
      <w:lvlText w:val="%7."/>
      <w:lvlJc w:val="left"/>
      <w:pPr>
        <w:ind w:left="5040" w:hanging="360"/>
      </w:pPr>
    </w:lvl>
    <w:lvl w:ilvl="7" w:tplc="83F25AD6" w:tentative="1">
      <w:start w:val="1"/>
      <w:numFmt w:val="lowerLetter"/>
      <w:lvlText w:val="%8."/>
      <w:lvlJc w:val="left"/>
      <w:pPr>
        <w:ind w:left="5760" w:hanging="360"/>
      </w:pPr>
    </w:lvl>
    <w:lvl w:ilvl="8" w:tplc="4BA0AFE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A8CB888">
      <w:start w:val="1"/>
      <w:numFmt w:val="lowerRoman"/>
      <w:lvlText w:val="(%1)"/>
      <w:lvlJc w:val="left"/>
      <w:pPr>
        <w:ind w:left="1080" w:hanging="720"/>
      </w:pPr>
      <w:rPr>
        <w:rFonts w:hint="default"/>
      </w:rPr>
    </w:lvl>
    <w:lvl w:ilvl="1" w:tplc="EEAA73A6" w:tentative="1">
      <w:start w:val="1"/>
      <w:numFmt w:val="lowerLetter"/>
      <w:lvlText w:val="%2."/>
      <w:lvlJc w:val="left"/>
      <w:pPr>
        <w:ind w:left="1440" w:hanging="360"/>
      </w:pPr>
    </w:lvl>
    <w:lvl w:ilvl="2" w:tplc="4BBCBFC4" w:tentative="1">
      <w:start w:val="1"/>
      <w:numFmt w:val="lowerRoman"/>
      <w:lvlText w:val="%3."/>
      <w:lvlJc w:val="right"/>
      <w:pPr>
        <w:ind w:left="2160" w:hanging="180"/>
      </w:pPr>
    </w:lvl>
    <w:lvl w:ilvl="3" w:tplc="3F2C0D22" w:tentative="1">
      <w:start w:val="1"/>
      <w:numFmt w:val="decimal"/>
      <w:lvlText w:val="%4."/>
      <w:lvlJc w:val="left"/>
      <w:pPr>
        <w:ind w:left="2880" w:hanging="360"/>
      </w:pPr>
    </w:lvl>
    <w:lvl w:ilvl="4" w:tplc="1D9AEB08" w:tentative="1">
      <w:start w:val="1"/>
      <w:numFmt w:val="lowerLetter"/>
      <w:lvlText w:val="%5."/>
      <w:lvlJc w:val="left"/>
      <w:pPr>
        <w:ind w:left="3600" w:hanging="360"/>
      </w:pPr>
    </w:lvl>
    <w:lvl w:ilvl="5" w:tplc="57F60A10" w:tentative="1">
      <w:start w:val="1"/>
      <w:numFmt w:val="lowerRoman"/>
      <w:lvlText w:val="%6."/>
      <w:lvlJc w:val="right"/>
      <w:pPr>
        <w:ind w:left="4320" w:hanging="180"/>
      </w:pPr>
    </w:lvl>
    <w:lvl w:ilvl="6" w:tplc="4694262A" w:tentative="1">
      <w:start w:val="1"/>
      <w:numFmt w:val="decimal"/>
      <w:lvlText w:val="%7."/>
      <w:lvlJc w:val="left"/>
      <w:pPr>
        <w:ind w:left="5040" w:hanging="360"/>
      </w:pPr>
    </w:lvl>
    <w:lvl w:ilvl="7" w:tplc="72DAB0F0" w:tentative="1">
      <w:start w:val="1"/>
      <w:numFmt w:val="lowerLetter"/>
      <w:lvlText w:val="%8."/>
      <w:lvlJc w:val="left"/>
      <w:pPr>
        <w:ind w:left="5760" w:hanging="360"/>
      </w:pPr>
    </w:lvl>
    <w:lvl w:ilvl="8" w:tplc="572EF7E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DE89D82">
      <w:start w:val="1"/>
      <w:numFmt w:val="lowerRoman"/>
      <w:lvlText w:val="(%1)"/>
      <w:lvlJc w:val="left"/>
      <w:pPr>
        <w:ind w:left="1080" w:hanging="720"/>
      </w:pPr>
      <w:rPr>
        <w:rFonts w:hint="default"/>
      </w:rPr>
    </w:lvl>
    <w:lvl w:ilvl="1" w:tplc="05E20566" w:tentative="1">
      <w:start w:val="1"/>
      <w:numFmt w:val="lowerLetter"/>
      <w:lvlText w:val="%2."/>
      <w:lvlJc w:val="left"/>
      <w:pPr>
        <w:ind w:left="1440" w:hanging="360"/>
      </w:pPr>
    </w:lvl>
    <w:lvl w:ilvl="2" w:tplc="5CA6CF82" w:tentative="1">
      <w:start w:val="1"/>
      <w:numFmt w:val="lowerRoman"/>
      <w:lvlText w:val="%3."/>
      <w:lvlJc w:val="right"/>
      <w:pPr>
        <w:ind w:left="2160" w:hanging="180"/>
      </w:pPr>
    </w:lvl>
    <w:lvl w:ilvl="3" w:tplc="42701320" w:tentative="1">
      <w:start w:val="1"/>
      <w:numFmt w:val="decimal"/>
      <w:lvlText w:val="%4."/>
      <w:lvlJc w:val="left"/>
      <w:pPr>
        <w:ind w:left="2880" w:hanging="360"/>
      </w:pPr>
    </w:lvl>
    <w:lvl w:ilvl="4" w:tplc="09C66D2A" w:tentative="1">
      <w:start w:val="1"/>
      <w:numFmt w:val="lowerLetter"/>
      <w:lvlText w:val="%5."/>
      <w:lvlJc w:val="left"/>
      <w:pPr>
        <w:ind w:left="3600" w:hanging="360"/>
      </w:pPr>
    </w:lvl>
    <w:lvl w:ilvl="5" w:tplc="4678C4F2" w:tentative="1">
      <w:start w:val="1"/>
      <w:numFmt w:val="lowerRoman"/>
      <w:lvlText w:val="%6."/>
      <w:lvlJc w:val="right"/>
      <w:pPr>
        <w:ind w:left="4320" w:hanging="180"/>
      </w:pPr>
    </w:lvl>
    <w:lvl w:ilvl="6" w:tplc="FEF8FC30" w:tentative="1">
      <w:start w:val="1"/>
      <w:numFmt w:val="decimal"/>
      <w:lvlText w:val="%7."/>
      <w:lvlJc w:val="left"/>
      <w:pPr>
        <w:ind w:left="5040" w:hanging="360"/>
      </w:pPr>
    </w:lvl>
    <w:lvl w:ilvl="7" w:tplc="8670F216" w:tentative="1">
      <w:start w:val="1"/>
      <w:numFmt w:val="lowerLetter"/>
      <w:lvlText w:val="%8."/>
      <w:lvlJc w:val="left"/>
      <w:pPr>
        <w:ind w:left="5760" w:hanging="360"/>
      </w:pPr>
    </w:lvl>
    <w:lvl w:ilvl="8" w:tplc="EBC44D7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8BC934E">
      <w:start w:val="1"/>
      <w:numFmt w:val="lowerRoman"/>
      <w:lvlText w:val="(%1)"/>
      <w:lvlJc w:val="left"/>
      <w:pPr>
        <w:ind w:left="1080" w:hanging="720"/>
      </w:pPr>
      <w:rPr>
        <w:rFonts w:hint="default"/>
      </w:rPr>
    </w:lvl>
    <w:lvl w:ilvl="1" w:tplc="B3F8DF7A" w:tentative="1">
      <w:start w:val="1"/>
      <w:numFmt w:val="lowerLetter"/>
      <w:lvlText w:val="%2."/>
      <w:lvlJc w:val="left"/>
      <w:pPr>
        <w:ind w:left="1440" w:hanging="360"/>
      </w:pPr>
    </w:lvl>
    <w:lvl w:ilvl="2" w:tplc="0D003F94" w:tentative="1">
      <w:start w:val="1"/>
      <w:numFmt w:val="lowerRoman"/>
      <w:lvlText w:val="%3."/>
      <w:lvlJc w:val="right"/>
      <w:pPr>
        <w:ind w:left="2160" w:hanging="180"/>
      </w:pPr>
    </w:lvl>
    <w:lvl w:ilvl="3" w:tplc="83E8F230" w:tentative="1">
      <w:start w:val="1"/>
      <w:numFmt w:val="decimal"/>
      <w:lvlText w:val="%4."/>
      <w:lvlJc w:val="left"/>
      <w:pPr>
        <w:ind w:left="2880" w:hanging="360"/>
      </w:pPr>
    </w:lvl>
    <w:lvl w:ilvl="4" w:tplc="B9C44D80" w:tentative="1">
      <w:start w:val="1"/>
      <w:numFmt w:val="lowerLetter"/>
      <w:lvlText w:val="%5."/>
      <w:lvlJc w:val="left"/>
      <w:pPr>
        <w:ind w:left="3600" w:hanging="360"/>
      </w:pPr>
    </w:lvl>
    <w:lvl w:ilvl="5" w:tplc="ACD86BEC" w:tentative="1">
      <w:start w:val="1"/>
      <w:numFmt w:val="lowerRoman"/>
      <w:lvlText w:val="%6."/>
      <w:lvlJc w:val="right"/>
      <w:pPr>
        <w:ind w:left="4320" w:hanging="180"/>
      </w:pPr>
    </w:lvl>
    <w:lvl w:ilvl="6" w:tplc="DF2C5FF8" w:tentative="1">
      <w:start w:val="1"/>
      <w:numFmt w:val="decimal"/>
      <w:lvlText w:val="%7."/>
      <w:lvlJc w:val="left"/>
      <w:pPr>
        <w:ind w:left="5040" w:hanging="360"/>
      </w:pPr>
    </w:lvl>
    <w:lvl w:ilvl="7" w:tplc="019E763A" w:tentative="1">
      <w:start w:val="1"/>
      <w:numFmt w:val="lowerLetter"/>
      <w:lvlText w:val="%8."/>
      <w:lvlJc w:val="left"/>
      <w:pPr>
        <w:ind w:left="5760" w:hanging="360"/>
      </w:pPr>
    </w:lvl>
    <w:lvl w:ilvl="8" w:tplc="2EEC585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7A0D5F8">
      <w:start w:val="1"/>
      <w:numFmt w:val="lowerRoman"/>
      <w:lvlText w:val="(%1)"/>
      <w:lvlJc w:val="left"/>
      <w:pPr>
        <w:ind w:left="1080" w:hanging="720"/>
      </w:pPr>
      <w:rPr>
        <w:rFonts w:hint="default"/>
      </w:rPr>
    </w:lvl>
    <w:lvl w:ilvl="1" w:tplc="28BCFF7A" w:tentative="1">
      <w:start w:val="1"/>
      <w:numFmt w:val="lowerLetter"/>
      <w:lvlText w:val="%2."/>
      <w:lvlJc w:val="left"/>
      <w:pPr>
        <w:ind w:left="1440" w:hanging="360"/>
      </w:pPr>
    </w:lvl>
    <w:lvl w:ilvl="2" w:tplc="B30091B0" w:tentative="1">
      <w:start w:val="1"/>
      <w:numFmt w:val="lowerRoman"/>
      <w:lvlText w:val="%3."/>
      <w:lvlJc w:val="right"/>
      <w:pPr>
        <w:ind w:left="2160" w:hanging="180"/>
      </w:pPr>
    </w:lvl>
    <w:lvl w:ilvl="3" w:tplc="740C7F60" w:tentative="1">
      <w:start w:val="1"/>
      <w:numFmt w:val="decimal"/>
      <w:lvlText w:val="%4."/>
      <w:lvlJc w:val="left"/>
      <w:pPr>
        <w:ind w:left="2880" w:hanging="360"/>
      </w:pPr>
    </w:lvl>
    <w:lvl w:ilvl="4" w:tplc="0DFCFCB2" w:tentative="1">
      <w:start w:val="1"/>
      <w:numFmt w:val="lowerLetter"/>
      <w:lvlText w:val="%5."/>
      <w:lvlJc w:val="left"/>
      <w:pPr>
        <w:ind w:left="3600" w:hanging="360"/>
      </w:pPr>
    </w:lvl>
    <w:lvl w:ilvl="5" w:tplc="E59C3774" w:tentative="1">
      <w:start w:val="1"/>
      <w:numFmt w:val="lowerRoman"/>
      <w:lvlText w:val="%6."/>
      <w:lvlJc w:val="right"/>
      <w:pPr>
        <w:ind w:left="4320" w:hanging="180"/>
      </w:pPr>
    </w:lvl>
    <w:lvl w:ilvl="6" w:tplc="B0CE45C4" w:tentative="1">
      <w:start w:val="1"/>
      <w:numFmt w:val="decimal"/>
      <w:lvlText w:val="%7."/>
      <w:lvlJc w:val="left"/>
      <w:pPr>
        <w:ind w:left="5040" w:hanging="360"/>
      </w:pPr>
    </w:lvl>
    <w:lvl w:ilvl="7" w:tplc="CBC0348C" w:tentative="1">
      <w:start w:val="1"/>
      <w:numFmt w:val="lowerLetter"/>
      <w:lvlText w:val="%8."/>
      <w:lvlJc w:val="left"/>
      <w:pPr>
        <w:ind w:left="5760" w:hanging="360"/>
      </w:pPr>
    </w:lvl>
    <w:lvl w:ilvl="8" w:tplc="35EC1B3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AB256F2"/>
    <w:multiLevelType w:val="hybridMultilevel"/>
    <w:tmpl w:val="B1EE7338"/>
    <w:lvl w:ilvl="0" w:tplc="246218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6B"/>
    <w:rsid w:val="00013F6B"/>
    <w:rsid w:val="00047296"/>
    <w:rsid w:val="00087873"/>
    <w:rsid w:val="0014420F"/>
    <w:rsid w:val="00356ACD"/>
    <w:rsid w:val="00384614"/>
    <w:rsid w:val="004165FA"/>
    <w:rsid w:val="00477093"/>
    <w:rsid w:val="004915BF"/>
    <w:rsid w:val="004A316E"/>
    <w:rsid w:val="0052191E"/>
    <w:rsid w:val="00830650"/>
    <w:rsid w:val="00AD718E"/>
    <w:rsid w:val="00DF227E"/>
    <w:rsid w:val="00DF6D31"/>
    <w:rsid w:val="00E15F34"/>
    <w:rsid w:val="00F30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6C06"/>
  <w15:docId w15:val="{67FB8308-7453-4C7B-807D-3FF759B1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5355</RACS_x0020_ID>
    <Approved_x0020_Provider xmlns="a8338b6e-77a6-4851-82b6-98166143ffdd">The Uniting Church in Australia Property Trust (Q.)</Approved_x0020_Provider>
    <Management_x0020_Company_x0020_ID xmlns="a8338b6e-77a6-4851-82b6-98166143ffdd" xsi:nil="true"/>
    <Home xmlns="a8338b6e-77a6-4851-82b6-98166143ffdd">Anam Cara</Home>
    <Signed xmlns="a8338b6e-77a6-4851-82b6-98166143ffdd" xsi:nil="true"/>
    <Uploaded xmlns="a8338b6e-77a6-4851-82b6-98166143ffdd">False</Uploaded>
    <Management_x0020_Company xmlns="a8338b6e-77a6-4851-82b6-98166143ffdd" xsi:nil="true"/>
    <Doc_x0020_Date xmlns="a8338b6e-77a6-4851-82b6-98166143ffdd">2023-05-28T23:25:00+00:00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6AD04F4B-7CF4-DC11-AD41-005056922186</Home_x0020_ID>
    <State xmlns="a8338b6e-77a6-4851-82b6-98166143ffdd">QLD</State>
    <Doc_x0020_Sent_Received_x0020_Date xmlns="a8338b6e-77a6-4851-82b6-98166143ffdd">2023-05-29T00:00:00+00:00</Doc_x0020_Sent_Received_x0020_Date>
    <Activity_x0020_ID xmlns="a8338b6e-77a6-4851-82b6-98166143ffdd">5907ABF2-E7F2-ED11-BCD9-005056922186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35FD06-56CC-49E9-A86F-858DFDF47234}">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E8FE4F5B-7D69-43F2-AAB1-497BF4391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1193</Words>
  <Characters>6803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2023-06-26T06:38:00Z</dcterms:created>
  <dcterms:modified xsi:type="dcterms:W3CDTF">2023-06-26T06:39:00Z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