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8119F4" w14:textId="77777777" w:rsidR="00542F58" w:rsidRPr="002C3EBF" w:rsidRDefault="00FF4B4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7F0D350" wp14:editId="4CE7997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0CD71FE" w14:textId="77777777" w:rsidR="00542F58" w:rsidRDefault="00FF4B4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49AFAA3" w14:textId="77777777" w:rsidR="00542F58" w:rsidRDefault="00FF4B4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88DFF20" w14:textId="77777777" w:rsidR="00542F58" w:rsidRPr="002C3EBF" w:rsidRDefault="00FF4B4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409BA" w14:paraId="3DEC42B8" w14:textId="77777777" w:rsidTr="001409BA">
        <w:tc>
          <w:tcPr>
            <w:cnfStyle w:val="001000000000" w:firstRow="0" w:lastRow="0" w:firstColumn="1" w:lastColumn="0" w:oddVBand="0" w:evenVBand="0" w:oddHBand="0" w:evenHBand="0" w:firstRowFirstColumn="0" w:firstRowLastColumn="0" w:lastRowFirstColumn="0" w:lastRowLastColumn="0"/>
            <w:tcW w:w="3227" w:type="dxa"/>
          </w:tcPr>
          <w:p w14:paraId="2A816C82" w14:textId="77777777" w:rsidR="00542F58" w:rsidRPr="00996FAF" w:rsidRDefault="00FF4B4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22C70B2" w14:textId="77777777" w:rsidR="00542F58" w:rsidRPr="00996FAF" w:rsidRDefault="00FF4B4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Anthem</w:t>
            </w:r>
          </w:p>
        </w:tc>
      </w:tr>
      <w:tr w:rsidR="001409BA" w14:paraId="2849252C" w14:textId="77777777" w:rsidTr="001409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C84F75" w14:textId="77777777" w:rsidR="00542F58" w:rsidRPr="00996FAF" w:rsidRDefault="00FF4B41"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E9D0156" w14:textId="77777777" w:rsidR="00542F58" w:rsidRPr="00C27BE3" w:rsidRDefault="00FF4B4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0888</w:t>
            </w:r>
          </w:p>
        </w:tc>
      </w:tr>
      <w:tr w:rsidR="001409BA" w14:paraId="1F688406" w14:textId="77777777" w:rsidTr="001409B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23D62A" w14:textId="77777777" w:rsidR="00542F58" w:rsidRPr="00996FAF" w:rsidRDefault="00FF4B41"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EDBC02F" w14:textId="77777777" w:rsidR="00542F58" w:rsidRPr="00996FAF" w:rsidRDefault="00FF4B4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25 Retford</w:t>
            </w:r>
            <w:r>
              <w:rPr>
                <w:rFonts w:ascii="Arial" w:eastAsia="Times New Roman" w:hAnsi="Arial" w:cs="Arial"/>
                <w:lang w:eastAsia="en-AU"/>
              </w:rPr>
              <w:t xml:space="preserve"> Rd, BOWRAL, New South Wales, 2576</w:t>
            </w:r>
          </w:p>
        </w:tc>
      </w:tr>
      <w:tr w:rsidR="001409BA" w14:paraId="710FBB27" w14:textId="77777777" w:rsidTr="001409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9D8F75" w14:textId="77777777" w:rsidR="00542F58" w:rsidRPr="00996FAF" w:rsidRDefault="00FF4B41"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2953499" w14:textId="77777777" w:rsidR="00542F58" w:rsidRPr="00996FAF" w:rsidRDefault="00FF4B4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1409BA" w14:paraId="5805BF4A" w14:textId="77777777" w:rsidTr="001409B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8BC4C0" w14:textId="77777777" w:rsidR="00542F58" w:rsidRPr="00996FAF" w:rsidRDefault="00FF4B41"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407BDB6" w14:textId="77777777" w:rsidR="00542F58" w:rsidRPr="00996FAF" w:rsidRDefault="00FF4B4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14 May 2024</w:t>
            </w:r>
          </w:p>
        </w:tc>
      </w:tr>
      <w:tr w:rsidR="001409BA" w14:paraId="07C4263B" w14:textId="77777777" w:rsidTr="001409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F88615B" w14:textId="77777777" w:rsidR="00542F58" w:rsidRPr="00996FAF" w:rsidRDefault="00FF4B41"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20071786"/>
            <w:placeholder>
              <w:docPart w:val="DefaultPlaceholder_-1854013437"/>
            </w:placeholder>
            <w:date w:fullDate="2024-06-21T00:00:00Z">
              <w:dateFormat w:val="d MMMM yyyy"/>
              <w:lid w:val="en-AU"/>
              <w:storeMappedDataAs w:val="dateTime"/>
              <w:calendar w:val="gregorian"/>
            </w:date>
          </w:sdtPr>
          <w:sdtEndPr/>
          <w:sdtContent>
            <w:tc>
              <w:tcPr>
                <w:tcW w:w="7114" w:type="dxa"/>
                <w:shd w:val="clear" w:color="auto" w:fill="FFFFFF" w:themeFill="background1"/>
              </w:tcPr>
              <w:p w14:paraId="5E0BDA57" w14:textId="0E9C7583" w:rsidR="00542F58" w:rsidRPr="00996FAF" w:rsidRDefault="00284CE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21 June 2024</w:t>
                </w:r>
              </w:p>
            </w:tc>
          </w:sdtContent>
        </w:sdt>
      </w:tr>
      <w:tr w:rsidR="001409BA" w14:paraId="4007216C" w14:textId="77777777" w:rsidTr="001409B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AFB6B1F" w14:textId="77777777" w:rsidR="00542F58" w:rsidRPr="00996FAF" w:rsidRDefault="00FF4B41"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A4934E3" w14:textId="77777777" w:rsidR="00542F58" w:rsidRPr="009B6303" w:rsidRDefault="00FF4B4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2628 TBG Senior Living Services Pty Ltd </w:t>
            </w:r>
          </w:p>
          <w:p w14:paraId="157EE440" w14:textId="77777777" w:rsidR="00542F58" w:rsidRPr="009B6303" w:rsidRDefault="00FF4B4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6385 Anthem</w:t>
            </w:r>
          </w:p>
        </w:tc>
      </w:tr>
    </w:tbl>
    <w:bookmarkEnd w:id="0"/>
    <w:p w14:paraId="6C9A1296" w14:textId="77777777" w:rsidR="00542F58" w:rsidRPr="00996FAF" w:rsidRDefault="00FF4B4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DC7E2F9" w14:textId="77777777" w:rsidR="00542F58" w:rsidRPr="00996FAF" w:rsidRDefault="00FF4B41"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85B6C9C" w14:textId="77777777" w:rsidR="00542F58" w:rsidRPr="00996FAF" w:rsidRDefault="00FF4B41" w:rsidP="0036130C">
      <w:pPr>
        <w:pStyle w:val="NormalArial"/>
      </w:pPr>
      <w:r w:rsidRPr="00996FAF">
        <w:t xml:space="preserve">This performance report for </w:t>
      </w:r>
      <w:r w:rsidRPr="00C27BE3">
        <w:rPr>
          <w:color w:val="auto"/>
        </w:rPr>
        <w:t>Anthem</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Katrina Platt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66263C7" w14:textId="77777777" w:rsidR="00542F58" w:rsidRPr="00996FAF" w:rsidRDefault="00FF4B41"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79AB199" w14:textId="77777777" w:rsidR="00542F58" w:rsidRPr="00996FAF" w:rsidRDefault="00FF4B41" w:rsidP="0036130C">
      <w:pPr>
        <w:pStyle w:val="NormalArial"/>
      </w:pPr>
      <w:r w:rsidRPr="00996FAF">
        <w:t>The report also specifies any areas in which improvements must be made to ensure the Quality Standards are complied with.</w:t>
      </w:r>
    </w:p>
    <w:p w14:paraId="249BE811" w14:textId="77777777" w:rsidR="00542F58" w:rsidRPr="00996FAF" w:rsidRDefault="00FF4B41" w:rsidP="00712752">
      <w:pPr>
        <w:pStyle w:val="Heading1"/>
        <w:spacing w:before="240" w:after="240" w:line="22" w:lineRule="atLeast"/>
        <w:rPr>
          <w:rFonts w:ascii="Arial" w:hAnsi="Arial" w:cs="Arial"/>
        </w:rPr>
      </w:pPr>
      <w:r w:rsidRPr="00996FAF">
        <w:rPr>
          <w:rFonts w:ascii="Arial" w:hAnsi="Arial" w:cs="Arial"/>
        </w:rPr>
        <w:t>Material relied on</w:t>
      </w:r>
    </w:p>
    <w:p w14:paraId="0C229178" w14:textId="77777777" w:rsidR="00542F58" w:rsidRPr="00996FAF" w:rsidRDefault="00FF4B41" w:rsidP="0036130C">
      <w:pPr>
        <w:pStyle w:val="NormalArial"/>
      </w:pPr>
      <w:r w:rsidRPr="00996FAF">
        <w:t>The following information has been considered in preparing the performance report:</w:t>
      </w:r>
    </w:p>
    <w:p w14:paraId="42549ACD" w14:textId="77777777" w:rsidR="00284CE1" w:rsidRDefault="00FF4B41" w:rsidP="001D7AE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by </w:t>
      </w:r>
      <w:r w:rsidRPr="004E7613">
        <w:rPr>
          <w:rFonts w:ascii="Arial" w:hAnsi="Arial" w:cs="Arial"/>
          <w:color w:val="auto"/>
        </w:rPr>
        <w:t xml:space="preserve">a site assessment, </w:t>
      </w:r>
      <w:r w:rsidRPr="004E7613">
        <w:rPr>
          <w:rFonts w:ascii="Arial" w:hAnsi="Arial" w:cs="Arial"/>
          <w:color w:val="auto"/>
        </w:rPr>
        <w:t>observations at the service, review of documents and interviews with staff, consumers/representatives and others</w:t>
      </w:r>
    </w:p>
    <w:p w14:paraId="27FC4F79" w14:textId="77777777" w:rsidR="00906DB4" w:rsidRPr="00906DB4" w:rsidRDefault="00284CE1" w:rsidP="001D7AE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rPr>
        <w:t>a complaint received by the Commission on 9 January 2024.</w:t>
      </w:r>
    </w:p>
    <w:p w14:paraId="1BC86B5B" w14:textId="3E679CEF" w:rsidR="00542F58" w:rsidRPr="00906DB4" w:rsidRDefault="00FF4B41" w:rsidP="00906DB4">
      <w:pPr>
        <w:spacing w:line="240" w:lineRule="atLeast"/>
        <w:rPr>
          <w:rFonts w:ascii="Arial" w:hAnsi="Arial" w:cs="Arial"/>
          <w:color w:val="auto"/>
        </w:rPr>
      </w:pPr>
      <w:r w:rsidRPr="00906DB4">
        <w:rPr>
          <w:rFonts w:ascii="Arial" w:hAnsi="Arial" w:cs="Arial"/>
        </w:rPr>
        <w:br w:type="page"/>
      </w:r>
    </w:p>
    <w:p w14:paraId="72CB4BC9" w14:textId="77777777" w:rsidR="00542F58" w:rsidRPr="00996FAF" w:rsidRDefault="00FF4B4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3"/>
        <w:gridCol w:w="3341"/>
      </w:tblGrid>
      <w:tr w:rsidR="001409BA" w14:paraId="37E876D8" w14:textId="77777777" w:rsidTr="007D4CB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6" w:type="pct"/>
            <w:shd w:val="clear" w:color="auto" w:fill="auto"/>
          </w:tcPr>
          <w:p w14:paraId="13D79116" w14:textId="77777777" w:rsidR="00542F58" w:rsidRPr="00996FAF" w:rsidRDefault="00FF4B41"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604" w:type="pct"/>
            <w:shd w:val="clear" w:color="auto" w:fill="auto"/>
          </w:tcPr>
          <w:p w14:paraId="4FE5A49A" w14:textId="7A87CA1F" w:rsidR="00542F58" w:rsidRPr="002C5FA9" w:rsidRDefault="00FF4B41"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rPr>
                <w:alias w:val="Compliance Rating"/>
                <w:tag w:val="Compliance Rating"/>
                <w:id w:val="-254453865"/>
                <w:placeholder>
                  <w:docPart w:val="D6903D02D7CB4A26959385EE7707C951"/>
                </w:placeholder>
                <w:dropDownList>
                  <w:listItem w:displayText="choose a rating" w:value="choose a rating"/>
                  <w:listItem w:displayText="Compliant" w:value="Compliant"/>
                  <w:listItem w:displayText="Not Compliant" w:value="Not Compliant"/>
                  <w:listItem w:displayText="Not Applicable as not all Requirements assessed" w:value="Not Applicable as not all Requirements assessed"/>
                </w:dropDownList>
              </w:sdtPr>
              <w:sdtEndPr/>
              <w:sdtContent>
                <w:r w:rsidR="007D4CBB">
                  <w:rPr>
                    <w:rFonts w:ascii="Arial" w:hAnsi="Arial" w:cs="Arial"/>
                    <w:bCs/>
                  </w:rPr>
                  <w:t>Not Applicable as not all Requirements assessed</w:t>
                </w:r>
              </w:sdtContent>
            </w:sdt>
          </w:p>
        </w:tc>
      </w:tr>
      <w:tr w:rsidR="001409BA" w14:paraId="76E85FD4" w14:textId="77777777" w:rsidTr="007D4CBB">
        <w:trPr>
          <w:trHeight w:val="227"/>
        </w:trPr>
        <w:tc>
          <w:tcPr>
            <w:cnfStyle w:val="001000000000" w:firstRow="0" w:lastRow="0" w:firstColumn="1" w:lastColumn="0" w:oddVBand="0" w:evenVBand="0" w:oddHBand="0" w:evenHBand="0" w:firstRowFirstColumn="0" w:firstRowLastColumn="0" w:lastRowFirstColumn="0" w:lastRowLastColumn="0"/>
            <w:tcW w:w="3396" w:type="pct"/>
            <w:shd w:val="clear" w:color="auto" w:fill="auto"/>
          </w:tcPr>
          <w:p w14:paraId="04F3BB50" w14:textId="77777777" w:rsidR="00542F58" w:rsidRPr="00996FAF" w:rsidRDefault="00FF4B41"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604" w:type="pct"/>
            <w:shd w:val="clear" w:color="auto" w:fill="auto"/>
          </w:tcPr>
          <w:p w14:paraId="1565A144" w14:textId="74F458E9" w:rsidR="00542F58" w:rsidRPr="002C5FA9" w:rsidRDefault="00FF4B4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1389045"/>
                <w:placeholder>
                  <w:docPart w:val="5980B78F9EE84FC8ABAA12ABA876356E"/>
                </w:placeholder>
                <w:dropDownList>
                  <w:listItem w:displayText="choose a rating" w:value="choose a rating"/>
                  <w:listItem w:displayText="Compliant" w:value="Compliant"/>
                  <w:listItem w:displayText="Not Compliant" w:value="Not Compliant"/>
                  <w:listItem w:displayText="Not Applicable as not all Requirements assessed" w:value="Not Applicable as not all Requirements assessed"/>
                </w:dropDownList>
              </w:sdtPr>
              <w:sdtEndPr/>
              <w:sdtContent>
                <w:r w:rsidR="007D4CBB">
                  <w:rPr>
                    <w:rFonts w:ascii="Arial" w:hAnsi="Arial" w:cs="Arial"/>
                    <w:b/>
                    <w:bCs/>
                  </w:rPr>
                  <w:t>Not Applicable as not all Requirements assessed</w:t>
                </w:r>
              </w:sdtContent>
            </w:sdt>
          </w:p>
        </w:tc>
      </w:tr>
    </w:tbl>
    <w:p w14:paraId="4BB135B6" w14:textId="1A6E4578" w:rsidR="00542F58" w:rsidRPr="00996FAF" w:rsidRDefault="00FF4B41"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assessed </w:t>
      </w:r>
      <w:r w:rsidR="001D7AE2">
        <w:rPr>
          <w:rFonts w:ascii="Arial" w:hAnsi="Arial" w:cs="Arial"/>
        </w:rPr>
        <w:t>Requirement</w:t>
      </w:r>
      <w:r w:rsidRPr="00996FAF">
        <w:rPr>
          <w:rFonts w:ascii="Arial" w:hAnsi="Arial" w:cs="Arial"/>
        </w:rPr>
        <w:t>.</w:t>
      </w:r>
    </w:p>
    <w:p w14:paraId="68665DF5" w14:textId="77777777" w:rsidR="00542F58" w:rsidRPr="00996FAF" w:rsidRDefault="00FF4B41" w:rsidP="00712752">
      <w:pPr>
        <w:pStyle w:val="Heading1"/>
        <w:spacing w:before="0" w:after="240" w:line="22" w:lineRule="atLeast"/>
        <w:rPr>
          <w:rFonts w:ascii="Arial" w:hAnsi="Arial" w:cs="Arial"/>
        </w:rPr>
      </w:pPr>
      <w:r w:rsidRPr="00996FAF">
        <w:rPr>
          <w:rFonts w:ascii="Arial" w:hAnsi="Arial" w:cs="Arial"/>
        </w:rPr>
        <w:t>Areas for improvement</w:t>
      </w:r>
    </w:p>
    <w:p w14:paraId="4896029C" w14:textId="77777777" w:rsidR="00542F58" w:rsidRDefault="00FF4B41"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8F48993" w14:textId="77777777" w:rsidR="007D4CBB" w:rsidRDefault="007D4CBB">
      <w:pPr>
        <w:spacing w:after="160" w:line="259" w:lineRule="auto"/>
        <w:rPr>
          <w:rFonts w:ascii="Arial" w:hAnsi="Arial" w:cs="Arial"/>
          <w:b/>
          <w:bCs/>
          <w:sz w:val="30"/>
          <w:szCs w:val="28"/>
        </w:rPr>
      </w:pPr>
      <w:r>
        <w:rPr>
          <w:rFonts w:ascii="Arial" w:hAnsi="Arial" w:cs="Arial"/>
        </w:rPr>
        <w:br w:type="page"/>
      </w:r>
    </w:p>
    <w:p w14:paraId="0A93F504" w14:textId="5D03E1A6" w:rsidR="00542F58" w:rsidRPr="00996FAF" w:rsidRDefault="00FF4B41"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1409BA" w14:paraId="13C681CD" w14:textId="77777777" w:rsidTr="004E76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692B6322" w14:textId="77777777" w:rsidR="00542F58" w:rsidRPr="00996FAF" w:rsidRDefault="00FF4B41"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086F089" w14:textId="77777777" w:rsidR="00542F58" w:rsidRPr="00996FAF" w:rsidRDefault="00542F5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409BA" w14:paraId="2C3DBC6E" w14:textId="77777777" w:rsidTr="001409B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6E5AA2" w14:textId="77777777" w:rsidR="00542F58" w:rsidRPr="00996FAF" w:rsidRDefault="00FF4B41"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197C56E" w14:textId="77777777" w:rsidR="00542F58" w:rsidRPr="00996FAF" w:rsidRDefault="00FF4B4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personal care, clinical care, or both </w:t>
            </w:r>
            <w:r w:rsidRPr="00996FAF">
              <w:rPr>
                <w:rFonts w:ascii="Arial" w:hAnsi="Arial" w:cs="Arial"/>
              </w:rPr>
              <w:t>personal care and clinical care, that:</w:t>
            </w:r>
          </w:p>
          <w:p w14:paraId="767DD8DC" w14:textId="77777777" w:rsidR="00542F58" w:rsidRPr="00996FAF" w:rsidRDefault="00FF4B4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4F57033" w14:textId="77777777" w:rsidR="00542F58" w:rsidRPr="00996FAF" w:rsidRDefault="00FF4B4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6DE2D2A" w14:textId="77777777" w:rsidR="00542F58" w:rsidRPr="00996FAF" w:rsidRDefault="00FF4B4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4779FE3" w14:textId="77777777" w:rsidR="00542F58" w:rsidRPr="00996FAF" w:rsidRDefault="00FF4B4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8291914"/>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1409BA" w14:paraId="0E083D29" w14:textId="77777777" w:rsidTr="001409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729044" w14:textId="77777777" w:rsidR="00542F58" w:rsidRPr="00996FAF" w:rsidRDefault="00FF4B41"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61156568" w14:textId="77777777" w:rsidR="00542F58" w:rsidRPr="00996FAF" w:rsidRDefault="00FF4B4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Effective management of high impact or high prevalence risks associated with the care of </w:t>
            </w:r>
            <w:r w:rsidRPr="00996FAF">
              <w:rPr>
                <w:rFonts w:ascii="Arial" w:hAnsi="Arial" w:cs="Arial"/>
              </w:rPr>
              <w:t>each consumer.</w:t>
            </w:r>
          </w:p>
        </w:tc>
        <w:tc>
          <w:tcPr>
            <w:tcW w:w="1977" w:type="dxa"/>
            <w:shd w:val="clear" w:color="auto" w:fill="auto"/>
          </w:tcPr>
          <w:p w14:paraId="0CE0256B" w14:textId="77777777" w:rsidR="00542F58" w:rsidRPr="00996FAF" w:rsidRDefault="00FF4B4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1447581"/>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1409BA" w14:paraId="46F4C8BD" w14:textId="77777777" w:rsidTr="001409B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0271A8" w14:textId="77777777" w:rsidR="00542F58" w:rsidRPr="00996FAF" w:rsidRDefault="00FF4B41"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1CCF2688" w14:textId="77777777" w:rsidR="00542F58" w:rsidRPr="00996FAF" w:rsidRDefault="00FF4B4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5205E37B" w14:textId="77777777" w:rsidR="00542F58" w:rsidRPr="00996FAF" w:rsidRDefault="00FF4B41"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6297860"/>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68607184" w14:textId="77777777" w:rsidR="00542F58" w:rsidRDefault="00FF4B41" w:rsidP="00D87E7C">
      <w:pPr>
        <w:pStyle w:val="Heading20"/>
      </w:pPr>
      <w:r w:rsidRPr="00996FAF">
        <w:t>Findings</w:t>
      </w:r>
    </w:p>
    <w:p w14:paraId="7EACE666" w14:textId="339643CB" w:rsidR="00850A8E" w:rsidRDefault="00275040" w:rsidP="0036130C">
      <w:pPr>
        <w:pStyle w:val="NormalArial"/>
      </w:pPr>
      <w:r>
        <w:t xml:space="preserve">Consumers and consumer representatives provided positive feedback about clinical and personal care provision. Staff were knowledgeable about individual consumer needs and preferences, which </w:t>
      </w:r>
      <w:r w:rsidR="005F40E1">
        <w:t>was</w:t>
      </w:r>
      <w:r>
        <w:t xml:space="preserve"> consistent with </w:t>
      </w:r>
      <w:r w:rsidR="0085647C">
        <w:t>consumer care documentation</w:t>
      </w:r>
      <w:r>
        <w:t>.</w:t>
      </w:r>
      <w:r w:rsidR="0085647C">
        <w:t xml:space="preserve"> </w:t>
      </w:r>
      <w:r w:rsidR="004F2AA7">
        <w:t>Care documentation evidenced</w:t>
      </w:r>
      <w:r w:rsidR="00A77844">
        <w:t xml:space="preserve"> </w:t>
      </w:r>
      <w:r w:rsidR="004F2AA7">
        <w:t xml:space="preserve">falls </w:t>
      </w:r>
      <w:r w:rsidR="00A77844">
        <w:t xml:space="preserve">prevention and harm minimisation strategies </w:t>
      </w:r>
      <w:r w:rsidR="00CA7EE1">
        <w:t xml:space="preserve">and </w:t>
      </w:r>
      <w:r w:rsidR="004F2AA7">
        <w:t>timely post-fall intervention and management, which included head-to-toe assessments, observations, pain assessments and hospital transfer when required. Pain management</w:t>
      </w:r>
      <w:r w:rsidR="00310CC3">
        <w:t xml:space="preserve"> for individual consumer needs and preferences was demonstrated and included medical officer referrals when necessary. Changed behaviours were monitored for unmet needs</w:t>
      </w:r>
      <w:r w:rsidR="00427FDC">
        <w:t xml:space="preserve"> </w:t>
      </w:r>
      <w:r w:rsidR="00850A8E">
        <w:t xml:space="preserve">and consumer deterioration </w:t>
      </w:r>
      <w:r w:rsidR="00427FDC">
        <w:t xml:space="preserve">and </w:t>
      </w:r>
      <w:r w:rsidR="00850A8E">
        <w:t xml:space="preserve">preventative behaviour management included regular review of behaviour support plans and staff education. Policies and procedures for wound management guided staff in best practice, with regular wound charting, photography and </w:t>
      </w:r>
      <w:r w:rsidR="00284CE1">
        <w:t xml:space="preserve">use of </w:t>
      </w:r>
      <w:r w:rsidR="00850A8E">
        <w:t>measuring devices observed</w:t>
      </w:r>
      <w:r w:rsidR="00291AA7">
        <w:t>.</w:t>
      </w:r>
    </w:p>
    <w:p w14:paraId="2452E34D" w14:textId="2995D1DB" w:rsidR="00291AA7" w:rsidRDefault="00291AA7" w:rsidP="0036130C">
      <w:pPr>
        <w:pStyle w:val="NormalArial"/>
      </w:pPr>
      <w:r>
        <w:t>Consumers and consumer representatives were satisfied with high-impact and high-prevalence risk management.</w:t>
      </w:r>
      <w:r w:rsidR="009A082B">
        <w:t xml:space="preserve"> </w:t>
      </w:r>
      <w:r>
        <w:t>Staff demonstrated an understanding of consumers with high-impact and high-prevalence risks</w:t>
      </w:r>
      <w:r w:rsidR="009A082B">
        <w:t xml:space="preserve"> and discussed best practice in pressure area care, nutrition and choking risks, for example. Risk monitoring for individual consumers included falls, pressure injuries, pain management, restrictive practices, weight loss and malnutrition and associated organisational policies were aligned with best practice. </w:t>
      </w:r>
      <w:r w:rsidR="00891817">
        <w:t>Clinical governance meetings ensured ongoing monitoring of high-impact and high-prevalence risks including pressure injuries, consumer deterioration, falls and reportable incidents and emerging and increased risks.</w:t>
      </w:r>
      <w:r w:rsidR="009A082B">
        <w:t xml:space="preserve"> </w:t>
      </w:r>
    </w:p>
    <w:p w14:paraId="4616DC24" w14:textId="43E82A73" w:rsidR="00542F58" w:rsidRPr="00262C0B" w:rsidRDefault="00891817" w:rsidP="0036130C">
      <w:pPr>
        <w:pStyle w:val="NormalArial"/>
      </w:pPr>
      <w:r>
        <w:t xml:space="preserve">Consumers and consumer representatives were satisfied with management of consumer deterioration and responsiveness to changes in consumer conditions. Staff described their identification and escalation responsibilities related to consumer deterioration and </w:t>
      </w:r>
      <w:r w:rsidR="000B78FA">
        <w:t xml:space="preserve">condition </w:t>
      </w:r>
      <w:r>
        <w:t xml:space="preserve">changes </w:t>
      </w:r>
      <w:r w:rsidR="000B78FA">
        <w:t>which included neurovascular observations, head-to-toe assessments and medical officer and hospital referrals when appropriate. For end of life care, consumer care documentation confirmed additional support services were engaged when required and included palliative care clinical nurse consultants, medical officers and consumer representatives.</w:t>
      </w:r>
      <w:r>
        <w:br w:type="page"/>
      </w:r>
    </w:p>
    <w:p w14:paraId="54985BEB" w14:textId="77777777" w:rsidR="00542F58" w:rsidRPr="00996FAF" w:rsidRDefault="00FF4B41"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1409BA" w14:paraId="52A79E0F" w14:textId="77777777" w:rsidTr="001409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40B3B2E" w14:textId="77777777" w:rsidR="00542F58" w:rsidRPr="00996FAF" w:rsidRDefault="00FF4B41"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6DEA5ABB" w14:textId="77777777" w:rsidR="00542F58" w:rsidRPr="00996FAF" w:rsidRDefault="00542F5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409BA" w14:paraId="3691571A" w14:textId="77777777" w:rsidTr="001409BA">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AF84653" w14:textId="77777777" w:rsidR="00542F58" w:rsidRPr="00996FAF" w:rsidRDefault="00FF4B41"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31AEC6E7" w14:textId="77777777" w:rsidR="00542F58" w:rsidRPr="00996FAF" w:rsidRDefault="00FF4B4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9116336" w14:textId="77777777" w:rsidR="00542F58" w:rsidRPr="00996FAF" w:rsidRDefault="00FF4B4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B17D98C" w14:textId="77777777" w:rsidR="00542F58" w:rsidRPr="00996FAF" w:rsidRDefault="00FF4B4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D019BE9" w14:textId="77777777" w:rsidR="00542F58" w:rsidRPr="00996FAF" w:rsidRDefault="00FF4B4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1C7217E" w14:textId="77777777" w:rsidR="00542F58" w:rsidRPr="00996FAF" w:rsidRDefault="00FF4B4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w:t>
            </w:r>
            <w:r w:rsidRPr="00996FAF">
              <w:rPr>
                <w:rFonts w:ascii="Arial" w:hAnsi="Arial" w:cs="Arial"/>
              </w:rPr>
              <w:t>assignment of clear responsibilities and accountabilities;</w:t>
            </w:r>
          </w:p>
          <w:p w14:paraId="7F5CD5AE" w14:textId="77777777" w:rsidR="00542F58" w:rsidRPr="00996FAF" w:rsidRDefault="00FF4B4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77E7E9B" w14:textId="77777777" w:rsidR="00542F58" w:rsidRPr="00996FAF" w:rsidRDefault="00FF4B4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3ACBC6AB" w14:textId="77777777" w:rsidR="00542F58" w:rsidRPr="00996FAF" w:rsidRDefault="00FF4B4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4850688"/>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1409BA" w14:paraId="777723D1" w14:textId="77777777" w:rsidTr="001409B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0C75724" w14:textId="77777777" w:rsidR="00542F58" w:rsidRPr="00996FAF" w:rsidRDefault="00FF4B41"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7A66B99F" w14:textId="77777777" w:rsidR="00542F58" w:rsidRPr="00996FAF" w:rsidRDefault="00FF4B4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1EBF5C8" w14:textId="77777777" w:rsidR="00542F58" w:rsidRPr="00996FAF" w:rsidRDefault="00FF4B4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w:t>
            </w:r>
            <w:r w:rsidRPr="00996FAF">
              <w:rPr>
                <w:rFonts w:ascii="Arial" w:hAnsi="Arial" w:cs="Arial"/>
              </w:rPr>
              <w:t>impact or high prevalence risks associated with the care of consumers;</w:t>
            </w:r>
          </w:p>
          <w:p w14:paraId="6440EA1F" w14:textId="77777777" w:rsidR="00542F58" w:rsidRPr="00996FAF" w:rsidRDefault="00FF4B4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96299C1" w14:textId="77777777" w:rsidR="00542F58" w:rsidRPr="00996FAF" w:rsidRDefault="00FF4B4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6B14992" w14:textId="77777777" w:rsidR="00542F58" w:rsidRPr="00996FAF" w:rsidRDefault="00FF4B4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1A603252" w14:textId="77777777" w:rsidR="00542F58" w:rsidRPr="00996FAF" w:rsidRDefault="00FF4B41"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7851384"/>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1B0E8B7E" w14:textId="77777777" w:rsidR="00542F58" w:rsidRDefault="00FF4B41" w:rsidP="00D87E7C">
      <w:pPr>
        <w:pStyle w:val="Heading20"/>
      </w:pPr>
      <w:r w:rsidRPr="00996FAF">
        <w:t>Findings</w:t>
      </w:r>
    </w:p>
    <w:p w14:paraId="149B263A" w14:textId="319194A9" w:rsidR="0020250D" w:rsidRDefault="00C90C33" w:rsidP="0036130C">
      <w:pPr>
        <w:pStyle w:val="NormalArial"/>
      </w:pPr>
      <w:r>
        <w:t xml:space="preserve">Effective organisational governance systems were demonstrated. Consumers and consumer representatives were </w:t>
      </w:r>
      <w:r w:rsidR="00880EBF">
        <w:t>provided with relevant care and services information and a customised electronic clinical documentation system supported staff deliver</w:t>
      </w:r>
      <w:r w:rsidR="00284CE1">
        <w:t>y of</w:t>
      </w:r>
      <w:r w:rsidR="00880EBF">
        <w:t xml:space="preserve"> appropriate individual consumer care and services. Continuous improvement opportunities were identified through consumer feedback, complaints, audits, staff suggestions, review of clinical indicators, incidents, meetings, organisational initiatives and external reviews, with improvements logged, implemented and evaluated. Financial governance encompassed an allocated budget and discretionary spending, with additional expenditure approval by the governing body demonstrated for increased care needs in new beds and air mattresses. Workforce planning and management </w:t>
      </w:r>
      <w:r w:rsidR="00655766">
        <w:t>considered</w:t>
      </w:r>
      <w:r w:rsidR="00880EBF">
        <w:t xml:space="preserve"> consumer care needs, clinical data and consumer and staff feedback,</w:t>
      </w:r>
      <w:r w:rsidR="00655766">
        <w:t xml:space="preserve"> and included overseas trained staff sponsorship with accommodation and </w:t>
      </w:r>
      <w:r w:rsidR="00906DB4">
        <w:t xml:space="preserve">support for attainment of </w:t>
      </w:r>
      <w:r w:rsidR="00655766">
        <w:t xml:space="preserve">professional registration. </w:t>
      </w:r>
      <w:r w:rsidR="0020250D">
        <w:t xml:space="preserve">Support from the industry peak body, government departments and aged care consultancy service </w:t>
      </w:r>
      <w:r w:rsidR="00D85B1E">
        <w:t>contributed to</w:t>
      </w:r>
      <w:r w:rsidR="0020250D">
        <w:t xml:space="preserve"> regulatory compliance </w:t>
      </w:r>
      <w:r w:rsidR="00D85B1E">
        <w:t xml:space="preserve">monitoring and policy and procedure updates in response to legislative changes. </w:t>
      </w:r>
      <w:r w:rsidR="0020250D">
        <w:t>Feedback and complaints informed continuous improvement in consumer care and services and complaint trends were monitored and reported to the governing body.</w:t>
      </w:r>
    </w:p>
    <w:p w14:paraId="58ED7C9B" w14:textId="732DC83C" w:rsidR="00D85B1E" w:rsidRPr="00712752" w:rsidRDefault="00D85B1E" w:rsidP="0036130C">
      <w:pPr>
        <w:pStyle w:val="NormalArial"/>
      </w:pPr>
      <w:r>
        <w:t xml:space="preserve">Effective risk management systems were demonstrated. </w:t>
      </w:r>
      <w:r w:rsidR="00307030">
        <w:t xml:space="preserve">Weekly clinical risk register and mitigation strategy reviews ensured ongoing oversight of high-impact and high-prevalence risks. Incidents were reported under the Serious Incident Response Scheme within legislative </w:t>
      </w:r>
      <w:r w:rsidR="00343EE9">
        <w:t>time periods</w:t>
      </w:r>
      <w:r w:rsidR="00307030">
        <w:t xml:space="preserve"> and were investigated and managed appropriately. </w:t>
      </w:r>
      <w:r>
        <w:t>Consumer dignity and risk taking policies were complimented by consumer risk consultations and assessment</w:t>
      </w:r>
      <w:r w:rsidR="00307030">
        <w:t>s</w:t>
      </w:r>
      <w:r>
        <w:t xml:space="preserve"> </w:t>
      </w:r>
      <w:r w:rsidR="00307030">
        <w:t xml:space="preserve">to </w:t>
      </w:r>
      <w:r>
        <w:t xml:space="preserve">support </w:t>
      </w:r>
      <w:r w:rsidR="00307030">
        <w:t xml:space="preserve">consumers </w:t>
      </w:r>
      <w:r>
        <w:t xml:space="preserve">to live the best </w:t>
      </w:r>
      <w:r w:rsidR="00307030">
        <w:t>life</w:t>
      </w:r>
      <w:r>
        <w:t xml:space="preserve"> they can.</w:t>
      </w:r>
      <w:r w:rsidR="00307030">
        <w:t xml:space="preserve"> </w:t>
      </w:r>
      <w:r>
        <w:t>The Incident management system comprised an incident register, incident review by management and associated policies and procedures, with mandatory staff training provided.</w:t>
      </w:r>
    </w:p>
    <w:sectPr w:rsidR="00D85B1E"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BB2E21" w14:textId="77777777" w:rsidR="0039456C" w:rsidRDefault="0039456C">
      <w:pPr>
        <w:spacing w:after="0"/>
      </w:pPr>
      <w:r>
        <w:separator/>
      </w:r>
    </w:p>
  </w:endnote>
  <w:endnote w:type="continuationSeparator" w:id="0">
    <w:p w14:paraId="255CE59C" w14:textId="77777777" w:rsidR="0039456C" w:rsidRDefault="0039456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985B25" w14:textId="77777777" w:rsidR="00542F58" w:rsidRPr="00DF37F2" w:rsidRDefault="00FF4B41"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Anthem</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3ED7C86" w14:textId="77777777" w:rsidR="00542F58" w:rsidRPr="00DF37F2" w:rsidRDefault="00FF4B41"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0888</w:t>
    </w:r>
    <w:bookmarkEnd w:id="1"/>
    <w:r w:rsidRPr="00DF37F2">
      <w:rPr>
        <w:rStyle w:val="FooterBold"/>
        <w:rFonts w:ascii="Arial" w:hAnsi="Arial"/>
        <w:b w:val="0"/>
      </w:rPr>
      <w:tab/>
      <w:t xml:space="preserve">OFFICIAL: Sensitive </w:t>
    </w:r>
  </w:p>
  <w:p w14:paraId="68CEF19A" w14:textId="77777777" w:rsidR="00542F58" w:rsidRPr="00DF37F2" w:rsidRDefault="00FF4B4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763B5E" w14:textId="77777777" w:rsidR="00542F58" w:rsidRDefault="00542F5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394648" w14:textId="77777777" w:rsidR="0039456C" w:rsidRDefault="0039456C" w:rsidP="00D71F88">
      <w:pPr>
        <w:spacing w:after="0"/>
      </w:pPr>
      <w:r>
        <w:separator/>
      </w:r>
    </w:p>
  </w:footnote>
  <w:footnote w:type="continuationSeparator" w:id="0">
    <w:p w14:paraId="186F7E09" w14:textId="77777777" w:rsidR="0039456C" w:rsidRDefault="0039456C" w:rsidP="00D71F88">
      <w:pPr>
        <w:spacing w:after="0"/>
      </w:pPr>
      <w:r>
        <w:continuationSeparator/>
      </w:r>
    </w:p>
  </w:footnote>
  <w:footnote w:id="1">
    <w:p w14:paraId="328BFFB8" w14:textId="1E5BF5EC" w:rsidR="00542F58" w:rsidRDefault="00FF4B41"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E7613">
        <w:rPr>
          <w:rFonts w:ascii="Arial" w:hAnsi="Arial" w:cs="Arial"/>
          <w:color w:val="auto"/>
          <w:sz w:val="20"/>
          <w:szCs w:val="20"/>
        </w:rPr>
        <w:t>section 68A</w:t>
      </w:r>
      <w:r w:rsidRPr="004E7613">
        <w:rPr>
          <w:rFonts w:ascii="Arial" w:hAnsi="Arial" w:cs="Arial"/>
          <w:b/>
          <w:color w:val="auto"/>
          <w:sz w:val="20"/>
          <w:szCs w:val="20"/>
        </w:rPr>
        <w:t xml:space="preserve"> </w:t>
      </w:r>
      <w:r w:rsidRPr="004E7613">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3FDDF6A8" w14:textId="77777777" w:rsidR="00542F58" w:rsidRDefault="00542F5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C38A02" w14:textId="77777777" w:rsidR="00542F58" w:rsidRDefault="00FF4B41">
    <w:pPr>
      <w:pStyle w:val="Header"/>
    </w:pPr>
    <w:r>
      <w:rPr>
        <w:noProof/>
        <w:color w:val="2B579A"/>
        <w:shd w:val="clear" w:color="auto" w:fill="E6E6E6"/>
        <w:lang w:val="en-US"/>
      </w:rPr>
      <w:drawing>
        <wp:anchor distT="0" distB="0" distL="114300" distR="114300" simplePos="0" relativeHeight="251658241" behindDoc="1" locked="0" layoutInCell="1" allowOverlap="1" wp14:anchorId="7D734355" wp14:editId="49EB2205">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CB3750" w14:textId="77777777" w:rsidR="00542F58" w:rsidRDefault="00FF4B41">
    <w:pPr>
      <w:pStyle w:val="Header"/>
    </w:pPr>
    <w:r>
      <w:rPr>
        <w:noProof/>
      </w:rPr>
      <w:drawing>
        <wp:anchor distT="0" distB="0" distL="114300" distR="114300" simplePos="0" relativeHeight="251658240" behindDoc="0" locked="0" layoutInCell="1" allowOverlap="1" wp14:anchorId="5C84F0F5" wp14:editId="731CCA5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B4F24EA4">
      <w:start w:val="1"/>
      <w:numFmt w:val="lowerRoman"/>
      <w:lvlText w:val="(%1)"/>
      <w:lvlJc w:val="left"/>
      <w:pPr>
        <w:ind w:left="1080" w:hanging="720"/>
      </w:pPr>
      <w:rPr>
        <w:rFonts w:hint="default"/>
      </w:rPr>
    </w:lvl>
    <w:lvl w:ilvl="1" w:tplc="45C4BDE6" w:tentative="1">
      <w:start w:val="1"/>
      <w:numFmt w:val="lowerLetter"/>
      <w:lvlText w:val="%2."/>
      <w:lvlJc w:val="left"/>
      <w:pPr>
        <w:ind w:left="1440" w:hanging="360"/>
      </w:pPr>
    </w:lvl>
    <w:lvl w:ilvl="2" w:tplc="A1D4AB34" w:tentative="1">
      <w:start w:val="1"/>
      <w:numFmt w:val="lowerRoman"/>
      <w:lvlText w:val="%3."/>
      <w:lvlJc w:val="right"/>
      <w:pPr>
        <w:ind w:left="2160" w:hanging="180"/>
      </w:pPr>
    </w:lvl>
    <w:lvl w:ilvl="3" w:tplc="5E428752" w:tentative="1">
      <w:start w:val="1"/>
      <w:numFmt w:val="decimal"/>
      <w:lvlText w:val="%4."/>
      <w:lvlJc w:val="left"/>
      <w:pPr>
        <w:ind w:left="2880" w:hanging="360"/>
      </w:pPr>
    </w:lvl>
    <w:lvl w:ilvl="4" w:tplc="FA50789E" w:tentative="1">
      <w:start w:val="1"/>
      <w:numFmt w:val="lowerLetter"/>
      <w:lvlText w:val="%5."/>
      <w:lvlJc w:val="left"/>
      <w:pPr>
        <w:ind w:left="3600" w:hanging="360"/>
      </w:pPr>
    </w:lvl>
    <w:lvl w:ilvl="5" w:tplc="DB0AA12E" w:tentative="1">
      <w:start w:val="1"/>
      <w:numFmt w:val="lowerRoman"/>
      <w:lvlText w:val="%6."/>
      <w:lvlJc w:val="right"/>
      <w:pPr>
        <w:ind w:left="4320" w:hanging="180"/>
      </w:pPr>
    </w:lvl>
    <w:lvl w:ilvl="6" w:tplc="FE56BDAA" w:tentative="1">
      <w:start w:val="1"/>
      <w:numFmt w:val="decimal"/>
      <w:lvlText w:val="%7."/>
      <w:lvlJc w:val="left"/>
      <w:pPr>
        <w:ind w:left="5040" w:hanging="360"/>
      </w:pPr>
    </w:lvl>
    <w:lvl w:ilvl="7" w:tplc="92BCDF14" w:tentative="1">
      <w:start w:val="1"/>
      <w:numFmt w:val="lowerLetter"/>
      <w:lvlText w:val="%8."/>
      <w:lvlJc w:val="left"/>
      <w:pPr>
        <w:ind w:left="5760" w:hanging="360"/>
      </w:pPr>
    </w:lvl>
    <w:lvl w:ilvl="8" w:tplc="C7080BB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614A028">
      <w:start w:val="1"/>
      <w:numFmt w:val="lowerRoman"/>
      <w:lvlText w:val="(%1)"/>
      <w:lvlJc w:val="left"/>
      <w:pPr>
        <w:ind w:left="1080" w:hanging="720"/>
      </w:pPr>
      <w:rPr>
        <w:rFonts w:hint="default"/>
      </w:rPr>
    </w:lvl>
    <w:lvl w:ilvl="1" w:tplc="9FE23E86" w:tentative="1">
      <w:start w:val="1"/>
      <w:numFmt w:val="lowerLetter"/>
      <w:lvlText w:val="%2."/>
      <w:lvlJc w:val="left"/>
      <w:pPr>
        <w:ind w:left="1440" w:hanging="360"/>
      </w:pPr>
    </w:lvl>
    <w:lvl w:ilvl="2" w:tplc="140A11A8" w:tentative="1">
      <w:start w:val="1"/>
      <w:numFmt w:val="lowerRoman"/>
      <w:lvlText w:val="%3."/>
      <w:lvlJc w:val="right"/>
      <w:pPr>
        <w:ind w:left="2160" w:hanging="180"/>
      </w:pPr>
    </w:lvl>
    <w:lvl w:ilvl="3" w:tplc="9844D322" w:tentative="1">
      <w:start w:val="1"/>
      <w:numFmt w:val="decimal"/>
      <w:lvlText w:val="%4."/>
      <w:lvlJc w:val="left"/>
      <w:pPr>
        <w:ind w:left="2880" w:hanging="360"/>
      </w:pPr>
    </w:lvl>
    <w:lvl w:ilvl="4" w:tplc="6C5219A8" w:tentative="1">
      <w:start w:val="1"/>
      <w:numFmt w:val="lowerLetter"/>
      <w:lvlText w:val="%5."/>
      <w:lvlJc w:val="left"/>
      <w:pPr>
        <w:ind w:left="3600" w:hanging="360"/>
      </w:pPr>
    </w:lvl>
    <w:lvl w:ilvl="5" w:tplc="808E3956" w:tentative="1">
      <w:start w:val="1"/>
      <w:numFmt w:val="lowerRoman"/>
      <w:lvlText w:val="%6."/>
      <w:lvlJc w:val="right"/>
      <w:pPr>
        <w:ind w:left="4320" w:hanging="180"/>
      </w:pPr>
    </w:lvl>
    <w:lvl w:ilvl="6" w:tplc="1CD443BC" w:tentative="1">
      <w:start w:val="1"/>
      <w:numFmt w:val="decimal"/>
      <w:lvlText w:val="%7."/>
      <w:lvlJc w:val="left"/>
      <w:pPr>
        <w:ind w:left="5040" w:hanging="360"/>
      </w:pPr>
    </w:lvl>
    <w:lvl w:ilvl="7" w:tplc="F28EC80E" w:tentative="1">
      <w:start w:val="1"/>
      <w:numFmt w:val="lowerLetter"/>
      <w:lvlText w:val="%8."/>
      <w:lvlJc w:val="left"/>
      <w:pPr>
        <w:ind w:left="5760" w:hanging="360"/>
      </w:pPr>
    </w:lvl>
    <w:lvl w:ilvl="8" w:tplc="3F2AA4E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932684FA">
      <w:start w:val="1"/>
      <w:numFmt w:val="lowerRoman"/>
      <w:lvlText w:val="(%1)"/>
      <w:lvlJc w:val="left"/>
      <w:pPr>
        <w:ind w:left="1080" w:hanging="720"/>
      </w:pPr>
      <w:rPr>
        <w:rFonts w:hint="default"/>
      </w:rPr>
    </w:lvl>
    <w:lvl w:ilvl="1" w:tplc="FDB814A8" w:tentative="1">
      <w:start w:val="1"/>
      <w:numFmt w:val="lowerLetter"/>
      <w:lvlText w:val="%2."/>
      <w:lvlJc w:val="left"/>
      <w:pPr>
        <w:ind w:left="1440" w:hanging="360"/>
      </w:pPr>
    </w:lvl>
    <w:lvl w:ilvl="2" w:tplc="CF0446DC" w:tentative="1">
      <w:start w:val="1"/>
      <w:numFmt w:val="lowerRoman"/>
      <w:lvlText w:val="%3."/>
      <w:lvlJc w:val="right"/>
      <w:pPr>
        <w:ind w:left="2160" w:hanging="180"/>
      </w:pPr>
    </w:lvl>
    <w:lvl w:ilvl="3" w:tplc="DEC6F04C" w:tentative="1">
      <w:start w:val="1"/>
      <w:numFmt w:val="decimal"/>
      <w:lvlText w:val="%4."/>
      <w:lvlJc w:val="left"/>
      <w:pPr>
        <w:ind w:left="2880" w:hanging="360"/>
      </w:pPr>
    </w:lvl>
    <w:lvl w:ilvl="4" w:tplc="1F1E3F94" w:tentative="1">
      <w:start w:val="1"/>
      <w:numFmt w:val="lowerLetter"/>
      <w:lvlText w:val="%5."/>
      <w:lvlJc w:val="left"/>
      <w:pPr>
        <w:ind w:left="3600" w:hanging="360"/>
      </w:pPr>
    </w:lvl>
    <w:lvl w:ilvl="5" w:tplc="8D9AF278" w:tentative="1">
      <w:start w:val="1"/>
      <w:numFmt w:val="lowerRoman"/>
      <w:lvlText w:val="%6."/>
      <w:lvlJc w:val="right"/>
      <w:pPr>
        <w:ind w:left="4320" w:hanging="180"/>
      </w:pPr>
    </w:lvl>
    <w:lvl w:ilvl="6" w:tplc="941CA004" w:tentative="1">
      <w:start w:val="1"/>
      <w:numFmt w:val="decimal"/>
      <w:lvlText w:val="%7."/>
      <w:lvlJc w:val="left"/>
      <w:pPr>
        <w:ind w:left="5040" w:hanging="360"/>
      </w:pPr>
    </w:lvl>
    <w:lvl w:ilvl="7" w:tplc="6BB44426" w:tentative="1">
      <w:start w:val="1"/>
      <w:numFmt w:val="lowerLetter"/>
      <w:lvlText w:val="%8."/>
      <w:lvlJc w:val="left"/>
      <w:pPr>
        <w:ind w:left="5760" w:hanging="360"/>
      </w:pPr>
    </w:lvl>
    <w:lvl w:ilvl="8" w:tplc="D49C0A1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77346FE0">
      <w:start w:val="1"/>
      <w:numFmt w:val="bullet"/>
      <w:lvlText w:val=""/>
      <w:lvlJc w:val="left"/>
      <w:pPr>
        <w:ind w:left="720" w:hanging="360"/>
      </w:pPr>
      <w:rPr>
        <w:rFonts w:ascii="Symbol" w:hAnsi="Symbol" w:hint="default"/>
        <w:color w:val="auto"/>
        <w:sz w:val="24"/>
        <w:szCs w:val="24"/>
      </w:rPr>
    </w:lvl>
    <w:lvl w:ilvl="1" w:tplc="5986E1BA" w:tentative="1">
      <w:start w:val="1"/>
      <w:numFmt w:val="bullet"/>
      <w:lvlText w:val="o"/>
      <w:lvlJc w:val="left"/>
      <w:pPr>
        <w:ind w:left="1440" w:hanging="360"/>
      </w:pPr>
      <w:rPr>
        <w:rFonts w:ascii="Courier New" w:hAnsi="Courier New" w:cs="Courier New" w:hint="default"/>
      </w:rPr>
    </w:lvl>
    <w:lvl w:ilvl="2" w:tplc="1D408136" w:tentative="1">
      <w:start w:val="1"/>
      <w:numFmt w:val="bullet"/>
      <w:lvlText w:val=""/>
      <w:lvlJc w:val="left"/>
      <w:pPr>
        <w:ind w:left="2160" w:hanging="360"/>
      </w:pPr>
      <w:rPr>
        <w:rFonts w:ascii="Wingdings" w:hAnsi="Wingdings" w:hint="default"/>
      </w:rPr>
    </w:lvl>
    <w:lvl w:ilvl="3" w:tplc="5E4C1756" w:tentative="1">
      <w:start w:val="1"/>
      <w:numFmt w:val="bullet"/>
      <w:lvlText w:val=""/>
      <w:lvlJc w:val="left"/>
      <w:pPr>
        <w:ind w:left="2880" w:hanging="360"/>
      </w:pPr>
      <w:rPr>
        <w:rFonts w:ascii="Symbol" w:hAnsi="Symbol" w:hint="default"/>
      </w:rPr>
    </w:lvl>
    <w:lvl w:ilvl="4" w:tplc="AD8AFB94" w:tentative="1">
      <w:start w:val="1"/>
      <w:numFmt w:val="bullet"/>
      <w:lvlText w:val="o"/>
      <w:lvlJc w:val="left"/>
      <w:pPr>
        <w:ind w:left="3600" w:hanging="360"/>
      </w:pPr>
      <w:rPr>
        <w:rFonts w:ascii="Courier New" w:hAnsi="Courier New" w:cs="Courier New" w:hint="default"/>
      </w:rPr>
    </w:lvl>
    <w:lvl w:ilvl="5" w:tplc="E53A7D3E" w:tentative="1">
      <w:start w:val="1"/>
      <w:numFmt w:val="bullet"/>
      <w:lvlText w:val=""/>
      <w:lvlJc w:val="left"/>
      <w:pPr>
        <w:ind w:left="4320" w:hanging="360"/>
      </w:pPr>
      <w:rPr>
        <w:rFonts w:ascii="Wingdings" w:hAnsi="Wingdings" w:hint="default"/>
      </w:rPr>
    </w:lvl>
    <w:lvl w:ilvl="6" w:tplc="11AEC3D6" w:tentative="1">
      <w:start w:val="1"/>
      <w:numFmt w:val="bullet"/>
      <w:lvlText w:val=""/>
      <w:lvlJc w:val="left"/>
      <w:pPr>
        <w:ind w:left="5040" w:hanging="360"/>
      </w:pPr>
      <w:rPr>
        <w:rFonts w:ascii="Symbol" w:hAnsi="Symbol" w:hint="default"/>
      </w:rPr>
    </w:lvl>
    <w:lvl w:ilvl="7" w:tplc="A08EFEFC" w:tentative="1">
      <w:start w:val="1"/>
      <w:numFmt w:val="bullet"/>
      <w:lvlText w:val="o"/>
      <w:lvlJc w:val="left"/>
      <w:pPr>
        <w:ind w:left="5760" w:hanging="360"/>
      </w:pPr>
      <w:rPr>
        <w:rFonts w:ascii="Courier New" w:hAnsi="Courier New" w:cs="Courier New" w:hint="default"/>
      </w:rPr>
    </w:lvl>
    <w:lvl w:ilvl="8" w:tplc="B0B6B12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C8FAA034">
      <w:start w:val="1"/>
      <w:numFmt w:val="lowerRoman"/>
      <w:lvlText w:val="(%1)"/>
      <w:lvlJc w:val="left"/>
      <w:pPr>
        <w:ind w:left="1080" w:hanging="720"/>
      </w:pPr>
      <w:rPr>
        <w:rFonts w:hint="default"/>
      </w:rPr>
    </w:lvl>
    <w:lvl w:ilvl="1" w:tplc="770802DC" w:tentative="1">
      <w:start w:val="1"/>
      <w:numFmt w:val="lowerLetter"/>
      <w:lvlText w:val="%2."/>
      <w:lvlJc w:val="left"/>
      <w:pPr>
        <w:ind w:left="1440" w:hanging="360"/>
      </w:pPr>
    </w:lvl>
    <w:lvl w:ilvl="2" w:tplc="324274B2" w:tentative="1">
      <w:start w:val="1"/>
      <w:numFmt w:val="lowerRoman"/>
      <w:lvlText w:val="%3."/>
      <w:lvlJc w:val="right"/>
      <w:pPr>
        <w:ind w:left="2160" w:hanging="180"/>
      </w:pPr>
    </w:lvl>
    <w:lvl w:ilvl="3" w:tplc="3F48F7C8" w:tentative="1">
      <w:start w:val="1"/>
      <w:numFmt w:val="decimal"/>
      <w:lvlText w:val="%4."/>
      <w:lvlJc w:val="left"/>
      <w:pPr>
        <w:ind w:left="2880" w:hanging="360"/>
      </w:pPr>
    </w:lvl>
    <w:lvl w:ilvl="4" w:tplc="3594E57E" w:tentative="1">
      <w:start w:val="1"/>
      <w:numFmt w:val="lowerLetter"/>
      <w:lvlText w:val="%5."/>
      <w:lvlJc w:val="left"/>
      <w:pPr>
        <w:ind w:left="3600" w:hanging="360"/>
      </w:pPr>
    </w:lvl>
    <w:lvl w:ilvl="5" w:tplc="C584E568" w:tentative="1">
      <w:start w:val="1"/>
      <w:numFmt w:val="lowerRoman"/>
      <w:lvlText w:val="%6."/>
      <w:lvlJc w:val="right"/>
      <w:pPr>
        <w:ind w:left="4320" w:hanging="180"/>
      </w:pPr>
    </w:lvl>
    <w:lvl w:ilvl="6" w:tplc="712E79EE" w:tentative="1">
      <w:start w:val="1"/>
      <w:numFmt w:val="decimal"/>
      <w:lvlText w:val="%7."/>
      <w:lvlJc w:val="left"/>
      <w:pPr>
        <w:ind w:left="5040" w:hanging="360"/>
      </w:pPr>
    </w:lvl>
    <w:lvl w:ilvl="7" w:tplc="0D2CA7B2" w:tentative="1">
      <w:start w:val="1"/>
      <w:numFmt w:val="lowerLetter"/>
      <w:lvlText w:val="%8."/>
      <w:lvlJc w:val="left"/>
      <w:pPr>
        <w:ind w:left="5760" w:hanging="360"/>
      </w:pPr>
    </w:lvl>
    <w:lvl w:ilvl="8" w:tplc="D078393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1A5CB692">
      <w:start w:val="1"/>
      <w:numFmt w:val="lowerRoman"/>
      <w:lvlText w:val="(%1)"/>
      <w:lvlJc w:val="left"/>
      <w:pPr>
        <w:ind w:left="1080" w:hanging="720"/>
      </w:pPr>
      <w:rPr>
        <w:rFonts w:hint="default"/>
      </w:rPr>
    </w:lvl>
    <w:lvl w:ilvl="1" w:tplc="9F4EF660" w:tentative="1">
      <w:start w:val="1"/>
      <w:numFmt w:val="lowerLetter"/>
      <w:lvlText w:val="%2."/>
      <w:lvlJc w:val="left"/>
      <w:pPr>
        <w:ind w:left="1440" w:hanging="360"/>
      </w:pPr>
    </w:lvl>
    <w:lvl w:ilvl="2" w:tplc="70503BE0" w:tentative="1">
      <w:start w:val="1"/>
      <w:numFmt w:val="lowerRoman"/>
      <w:lvlText w:val="%3."/>
      <w:lvlJc w:val="right"/>
      <w:pPr>
        <w:ind w:left="2160" w:hanging="180"/>
      </w:pPr>
    </w:lvl>
    <w:lvl w:ilvl="3" w:tplc="915297B4" w:tentative="1">
      <w:start w:val="1"/>
      <w:numFmt w:val="decimal"/>
      <w:lvlText w:val="%4."/>
      <w:lvlJc w:val="left"/>
      <w:pPr>
        <w:ind w:left="2880" w:hanging="360"/>
      </w:pPr>
    </w:lvl>
    <w:lvl w:ilvl="4" w:tplc="7A9C11A4" w:tentative="1">
      <w:start w:val="1"/>
      <w:numFmt w:val="lowerLetter"/>
      <w:lvlText w:val="%5."/>
      <w:lvlJc w:val="left"/>
      <w:pPr>
        <w:ind w:left="3600" w:hanging="360"/>
      </w:pPr>
    </w:lvl>
    <w:lvl w:ilvl="5" w:tplc="34CCD52C" w:tentative="1">
      <w:start w:val="1"/>
      <w:numFmt w:val="lowerRoman"/>
      <w:lvlText w:val="%6."/>
      <w:lvlJc w:val="right"/>
      <w:pPr>
        <w:ind w:left="4320" w:hanging="180"/>
      </w:pPr>
    </w:lvl>
    <w:lvl w:ilvl="6" w:tplc="763EC79E" w:tentative="1">
      <w:start w:val="1"/>
      <w:numFmt w:val="decimal"/>
      <w:lvlText w:val="%7."/>
      <w:lvlJc w:val="left"/>
      <w:pPr>
        <w:ind w:left="5040" w:hanging="360"/>
      </w:pPr>
    </w:lvl>
    <w:lvl w:ilvl="7" w:tplc="8F3456AC" w:tentative="1">
      <w:start w:val="1"/>
      <w:numFmt w:val="lowerLetter"/>
      <w:lvlText w:val="%8."/>
      <w:lvlJc w:val="left"/>
      <w:pPr>
        <w:ind w:left="5760" w:hanging="360"/>
      </w:pPr>
    </w:lvl>
    <w:lvl w:ilvl="8" w:tplc="92A6607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83E0C04E">
      <w:start w:val="1"/>
      <w:numFmt w:val="lowerRoman"/>
      <w:lvlText w:val="(%1)"/>
      <w:lvlJc w:val="left"/>
      <w:pPr>
        <w:ind w:left="1080" w:hanging="720"/>
      </w:pPr>
      <w:rPr>
        <w:rFonts w:hint="default"/>
      </w:rPr>
    </w:lvl>
    <w:lvl w:ilvl="1" w:tplc="0B96B35C" w:tentative="1">
      <w:start w:val="1"/>
      <w:numFmt w:val="lowerLetter"/>
      <w:lvlText w:val="%2."/>
      <w:lvlJc w:val="left"/>
      <w:pPr>
        <w:ind w:left="1440" w:hanging="360"/>
      </w:pPr>
    </w:lvl>
    <w:lvl w:ilvl="2" w:tplc="452E5D92" w:tentative="1">
      <w:start w:val="1"/>
      <w:numFmt w:val="lowerRoman"/>
      <w:lvlText w:val="%3."/>
      <w:lvlJc w:val="right"/>
      <w:pPr>
        <w:ind w:left="2160" w:hanging="180"/>
      </w:pPr>
    </w:lvl>
    <w:lvl w:ilvl="3" w:tplc="07583D26" w:tentative="1">
      <w:start w:val="1"/>
      <w:numFmt w:val="decimal"/>
      <w:lvlText w:val="%4."/>
      <w:lvlJc w:val="left"/>
      <w:pPr>
        <w:ind w:left="2880" w:hanging="360"/>
      </w:pPr>
    </w:lvl>
    <w:lvl w:ilvl="4" w:tplc="65D29F76" w:tentative="1">
      <w:start w:val="1"/>
      <w:numFmt w:val="lowerLetter"/>
      <w:lvlText w:val="%5."/>
      <w:lvlJc w:val="left"/>
      <w:pPr>
        <w:ind w:left="3600" w:hanging="360"/>
      </w:pPr>
    </w:lvl>
    <w:lvl w:ilvl="5" w:tplc="0DE2D19E" w:tentative="1">
      <w:start w:val="1"/>
      <w:numFmt w:val="lowerRoman"/>
      <w:lvlText w:val="%6."/>
      <w:lvlJc w:val="right"/>
      <w:pPr>
        <w:ind w:left="4320" w:hanging="180"/>
      </w:pPr>
    </w:lvl>
    <w:lvl w:ilvl="6" w:tplc="4F6EAD90" w:tentative="1">
      <w:start w:val="1"/>
      <w:numFmt w:val="decimal"/>
      <w:lvlText w:val="%7."/>
      <w:lvlJc w:val="left"/>
      <w:pPr>
        <w:ind w:left="5040" w:hanging="360"/>
      </w:pPr>
    </w:lvl>
    <w:lvl w:ilvl="7" w:tplc="023C0A26" w:tentative="1">
      <w:start w:val="1"/>
      <w:numFmt w:val="lowerLetter"/>
      <w:lvlText w:val="%8."/>
      <w:lvlJc w:val="left"/>
      <w:pPr>
        <w:ind w:left="5760" w:hanging="360"/>
      </w:pPr>
    </w:lvl>
    <w:lvl w:ilvl="8" w:tplc="C8FA97A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BE5AF2E6">
      <w:start w:val="1"/>
      <w:numFmt w:val="lowerRoman"/>
      <w:lvlText w:val="(%1)"/>
      <w:lvlJc w:val="left"/>
      <w:pPr>
        <w:ind w:left="1080" w:hanging="720"/>
      </w:pPr>
      <w:rPr>
        <w:rFonts w:hint="default"/>
      </w:rPr>
    </w:lvl>
    <w:lvl w:ilvl="1" w:tplc="F9387464" w:tentative="1">
      <w:start w:val="1"/>
      <w:numFmt w:val="lowerLetter"/>
      <w:lvlText w:val="%2."/>
      <w:lvlJc w:val="left"/>
      <w:pPr>
        <w:ind w:left="1440" w:hanging="360"/>
      </w:pPr>
    </w:lvl>
    <w:lvl w:ilvl="2" w:tplc="BEF8D396" w:tentative="1">
      <w:start w:val="1"/>
      <w:numFmt w:val="lowerRoman"/>
      <w:lvlText w:val="%3."/>
      <w:lvlJc w:val="right"/>
      <w:pPr>
        <w:ind w:left="2160" w:hanging="180"/>
      </w:pPr>
    </w:lvl>
    <w:lvl w:ilvl="3" w:tplc="9978F636" w:tentative="1">
      <w:start w:val="1"/>
      <w:numFmt w:val="decimal"/>
      <w:lvlText w:val="%4."/>
      <w:lvlJc w:val="left"/>
      <w:pPr>
        <w:ind w:left="2880" w:hanging="360"/>
      </w:pPr>
    </w:lvl>
    <w:lvl w:ilvl="4" w:tplc="416C1E78" w:tentative="1">
      <w:start w:val="1"/>
      <w:numFmt w:val="lowerLetter"/>
      <w:lvlText w:val="%5."/>
      <w:lvlJc w:val="left"/>
      <w:pPr>
        <w:ind w:left="3600" w:hanging="360"/>
      </w:pPr>
    </w:lvl>
    <w:lvl w:ilvl="5" w:tplc="27A89D10" w:tentative="1">
      <w:start w:val="1"/>
      <w:numFmt w:val="lowerRoman"/>
      <w:lvlText w:val="%6."/>
      <w:lvlJc w:val="right"/>
      <w:pPr>
        <w:ind w:left="4320" w:hanging="180"/>
      </w:pPr>
    </w:lvl>
    <w:lvl w:ilvl="6" w:tplc="ED4AE14E" w:tentative="1">
      <w:start w:val="1"/>
      <w:numFmt w:val="decimal"/>
      <w:lvlText w:val="%7."/>
      <w:lvlJc w:val="left"/>
      <w:pPr>
        <w:ind w:left="5040" w:hanging="360"/>
      </w:pPr>
    </w:lvl>
    <w:lvl w:ilvl="7" w:tplc="30D485B0" w:tentative="1">
      <w:start w:val="1"/>
      <w:numFmt w:val="lowerLetter"/>
      <w:lvlText w:val="%8."/>
      <w:lvlJc w:val="left"/>
      <w:pPr>
        <w:ind w:left="5760" w:hanging="360"/>
      </w:pPr>
    </w:lvl>
    <w:lvl w:ilvl="8" w:tplc="4342CB7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7C683686">
      <w:start w:val="1"/>
      <w:numFmt w:val="lowerRoman"/>
      <w:lvlText w:val="(%1)"/>
      <w:lvlJc w:val="left"/>
      <w:pPr>
        <w:ind w:left="1080" w:hanging="720"/>
      </w:pPr>
      <w:rPr>
        <w:rFonts w:hint="default"/>
      </w:rPr>
    </w:lvl>
    <w:lvl w:ilvl="1" w:tplc="443E7F46" w:tentative="1">
      <w:start w:val="1"/>
      <w:numFmt w:val="lowerLetter"/>
      <w:lvlText w:val="%2."/>
      <w:lvlJc w:val="left"/>
      <w:pPr>
        <w:ind w:left="1440" w:hanging="360"/>
      </w:pPr>
    </w:lvl>
    <w:lvl w:ilvl="2" w:tplc="1FE639B2" w:tentative="1">
      <w:start w:val="1"/>
      <w:numFmt w:val="lowerRoman"/>
      <w:lvlText w:val="%3."/>
      <w:lvlJc w:val="right"/>
      <w:pPr>
        <w:ind w:left="2160" w:hanging="180"/>
      </w:pPr>
    </w:lvl>
    <w:lvl w:ilvl="3" w:tplc="EFCE7BC6" w:tentative="1">
      <w:start w:val="1"/>
      <w:numFmt w:val="decimal"/>
      <w:lvlText w:val="%4."/>
      <w:lvlJc w:val="left"/>
      <w:pPr>
        <w:ind w:left="2880" w:hanging="360"/>
      </w:pPr>
    </w:lvl>
    <w:lvl w:ilvl="4" w:tplc="CE16D336" w:tentative="1">
      <w:start w:val="1"/>
      <w:numFmt w:val="lowerLetter"/>
      <w:lvlText w:val="%5."/>
      <w:lvlJc w:val="left"/>
      <w:pPr>
        <w:ind w:left="3600" w:hanging="360"/>
      </w:pPr>
    </w:lvl>
    <w:lvl w:ilvl="5" w:tplc="765AD2E2" w:tentative="1">
      <w:start w:val="1"/>
      <w:numFmt w:val="lowerRoman"/>
      <w:lvlText w:val="%6."/>
      <w:lvlJc w:val="right"/>
      <w:pPr>
        <w:ind w:left="4320" w:hanging="180"/>
      </w:pPr>
    </w:lvl>
    <w:lvl w:ilvl="6" w:tplc="A600B822" w:tentative="1">
      <w:start w:val="1"/>
      <w:numFmt w:val="decimal"/>
      <w:lvlText w:val="%7."/>
      <w:lvlJc w:val="left"/>
      <w:pPr>
        <w:ind w:left="5040" w:hanging="360"/>
      </w:pPr>
    </w:lvl>
    <w:lvl w:ilvl="7" w:tplc="9D00ADBC" w:tentative="1">
      <w:start w:val="1"/>
      <w:numFmt w:val="lowerLetter"/>
      <w:lvlText w:val="%8."/>
      <w:lvlJc w:val="left"/>
      <w:pPr>
        <w:ind w:left="5760" w:hanging="360"/>
      </w:pPr>
    </w:lvl>
    <w:lvl w:ilvl="8" w:tplc="B7C22CB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E0583746">
      <w:start w:val="1"/>
      <w:numFmt w:val="lowerRoman"/>
      <w:lvlText w:val="(%1)"/>
      <w:lvlJc w:val="left"/>
      <w:pPr>
        <w:ind w:left="1080" w:hanging="720"/>
      </w:pPr>
      <w:rPr>
        <w:rFonts w:hint="default"/>
      </w:rPr>
    </w:lvl>
    <w:lvl w:ilvl="1" w:tplc="E064EE06" w:tentative="1">
      <w:start w:val="1"/>
      <w:numFmt w:val="lowerLetter"/>
      <w:lvlText w:val="%2."/>
      <w:lvlJc w:val="left"/>
      <w:pPr>
        <w:ind w:left="1440" w:hanging="360"/>
      </w:pPr>
    </w:lvl>
    <w:lvl w:ilvl="2" w:tplc="188E411A" w:tentative="1">
      <w:start w:val="1"/>
      <w:numFmt w:val="lowerRoman"/>
      <w:lvlText w:val="%3."/>
      <w:lvlJc w:val="right"/>
      <w:pPr>
        <w:ind w:left="2160" w:hanging="180"/>
      </w:pPr>
    </w:lvl>
    <w:lvl w:ilvl="3" w:tplc="EC505086" w:tentative="1">
      <w:start w:val="1"/>
      <w:numFmt w:val="decimal"/>
      <w:lvlText w:val="%4."/>
      <w:lvlJc w:val="left"/>
      <w:pPr>
        <w:ind w:left="2880" w:hanging="360"/>
      </w:pPr>
    </w:lvl>
    <w:lvl w:ilvl="4" w:tplc="AF5E5A80" w:tentative="1">
      <w:start w:val="1"/>
      <w:numFmt w:val="lowerLetter"/>
      <w:lvlText w:val="%5."/>
      <w:lvlJc w:val="left"/>
      <w:pPr>
        <w:ind w:left="3600" w:hanging="360"/>
      </w:pPr>
    </w:lvl>
    <w:lvl w:ilvl="5" w:tplc="75A6C168" w:tentative="1">
      <w:start w:val="1"/>
      <w:numFmt w:val="lowerRoman"/>
      <w:lvlText w:val="%6."/>
      <w:lvlJc w:val="right"/>
      <w:pPr>
        <w:ind w:left="4320" w:hanging="180"/>
      </w:pPr>
    </w:lvl>
    <w:lvl w:ilvl="6" w:tplc="6BFC18EC" w:tentative="1">
      <w:start w:val="1"/>
      <w:numFmt w:val="decimal"/>
      <w:lvlText w:val="%7."/>
      <w:lvlJc w:val="left"/>
      <w:pPr>
        <w:ind w:left="5040" w:hanging="360"/>
      </w:pPr>
    </w:lvl>
    <w:lvl w:ilvl="7" w:tplc="716482E6" w:tentative="1">
      <w:start w:val="1"/>
      <w:numFmt w:val="lowerLetter"/>
      <w:lvlText w:val="%8."/>
      <w:lvlJc w:val="left"/>
      <w:pPr>
        <w:ind w:left="5760" w:hanging="360"/>
      </w:pPr>
    </w:lvl>
    <w:lvl w:ilvl="8" w:tplc="4672D8F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718091414">
    <w:abstractNumId w:val="11"/>
  </w:num>
  <w:num w:numId="2" w16cid:durableId="2045641811">
    <w:abstractNumId w:val="4"/>
  </w:num>
  <w:num w:numId="3" w16cid:durableId="472676700">
    <w:abstractNumId w:val="2"/>
  </w:num>
  <w:num w:numId="4" w16cid:durableId="1002246476">
    <w:abstractNumId w:val="7"/>
  </w:num>
  <w:num w:numId="5" w16cid:durableId="684477951">
    <w:abstractNumId w:val="6"/>
  </w:num>
  <w:num w:numId="6" w16cid:durableId="15087842">
    <w:abstractNumId w:val="1"/>
  </w:num>
  <w:num w:numId="7" w16cid:durableId="1472092578">
    <w:abstractNumId w:val="9"/>
  </w:num>
  <w:num w:numId="8" w16cid:durableId="1875802564">
    <w:abstractNumId w:val="5"/>
  </w:num>
  <w:num w:numId="9" w16cid:durableId="641889613">
    <w:abstractNumId w:val="8"/>
  </w:num>
  <w:num w:numId="10" w16cid:durableId="942035824">
    <w:abstractNumId w:val="3"/>
  </w:num>
  <w:num w:numId="11" w16cid:durableId="938758099">
    <w:abstractNumId w:val="10"/>
  </w:num>
  <w:num w:numId="12" w16cid:durableId="104347660">
    <w:abstractNumId w:val="0"/>
  </w:num>
  <w:num w:numId="13" w16cid:durableId="1841240465">
    <w:abstractNumId w:val="11"/>
  </w:num>
  <w:num w:numId="14" w16cid:durableId="13050375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09BA"/>
    <w:rsid w:val="00013BA5"/>
    <w:rsid w:val="000B78FA"/>
    <w:rsid w:val="001409BA"/>
    <w:rsid w:val="001D7AE2"/>
    <w:rsid w:val="0020250D"/>
    <w:rsid w:val="002553A4"/>
    <w:rsid w:val="00275040"/>
    <w:rsid w:val="00281CC9"/>
    <w:rsid w:val="00284CE1"/>
    <w:rsid w:val="00291AA7"/>
    <w:rsid w:val="00300C08"/>
    <w:rsid w:val="00307030"/>
    <w:rsid w:val="00310CC3"/>
    <w:rsid w:val="00343EE9"/>
    <w:rsid w:val="0039456C"/>
    <w:rsid w:val="003D4A3F"/>
    <w:rsid w:val="00427FDC"/>
    <w:rsid w:val="004E7613"/>
    <w:rsid w:val="004F2AA7"/>
    <w:rsid w:val="00542F58"/>
    <w:rsid w:val="00587968"/>
    <w:rsid w:val="005F40E1"/>
    <w:rsid w:val="00655766"/>
    <w:rsid w:val="007D4CBB"/>
    <w:rsid w:val="007D4D0B"/>
    <w:rsid w:val="00850A8E"/>
    <w:rsid w:val="0085647C"/>
    <w:rsid w:val="00880EBF"/>
    <w:rsid w:val="00891817"/>
    <w:rsid w:val="00906DB4"/>
    <w:rsid w:val="00954E28"/>
    <w:rsid w:val="009A082B"/>
    <w:rsid w:val="00A77844"/>
    <w:rsid w:val="00C90C33"/>
    <w:rsid w:val="00CA7EE1"/>
    <w:rsid w:val="00D85B1E"/>
    <w:rsid w:val="00EE5F0C"/>
    <w:rsid w:val="00F2499E"/>
    <w:rsid w:val="00FF4B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709E4B"/>
  <w15:docId w15:val="{64FC6472-5128-4D48-ACF4-E38291742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5D2145" w:rsidRDefault="00B57768">
          <w:r w:rsidRPr="00925A3E">
            <w:rPr>
              <w:rStyle w:val="PlaceholderText"/>
            </w:rPr>
            <w:t>Click or tap to enter a date.</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FF4E7F" w:rsidRDefault="00B57768" w:rsidP="00AF0AC5">
          <w:pPr>
            <w:pStyle w:val="D6903D02D7CB4A26959385EE7707C951"/>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FF4E7F" w:rsidRDefault="00B57768" w:rsidP="00AF0AC5">
          <w:pPr>
            <w:pStyle w:val="5980B78F9EE84FC8ABAA12ABA876356E"/>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FF4E7F" w:rsidRDefault="00B57768"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FF4E7F" w:rsidRDefault="00B57768" w:rsidP="00AF0AC5">
          <w:pPr>
            <w:pStyle w:val="B49FA1BBEF644AB6B201ADBCD49F2011"/>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FF4E7F" w:rsidRDefault="00B57768" w:rsidP="00AF0AC5">
          <w:pPr>
            <w:pStyle w:val="0B2FCB2C6D314CE59B805B4EB6683D10"/>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FF4E7F" w:rsidRDefault="00B57768"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FF4E7F" w:rsidRDefault="00B57768"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F4E7F"/>
    <w:rsid w:val="00114489"/>
    <w:rsid w:val="002553A4"/>
    <w:rsid w:val="00281CC9"/>
    <w:rsid w:val="00587968"/>
    <w:rsid w:val="005D2145"/>
    <w:rsid w:val="00954E28"/>
    <w:rsid w:val="00B57768"/>
    <w:rsid w:val="00E40760"/>
    <w:rsid w:val="00EA6F18"/>
    <w:rsid w:val="00FF4E7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D6903D02D7CB4A26959385EE7707C951">
    <w:name w:val="D6903D02D7CB4A26959385EE7707C951"/>
    <w:rsid w:val="00AF0AC5"/>
  </w:style>
  <w:style w:type="paragraph" w:customStyle="1" w:styleId="5980B78F9EE84FC8ABAA12ABA876356E">
    <w:name w:val="5980B78F9EE84FC8ABAA12ABA876356E"/>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B2FCB2C6D314CE59B805B4EB6683D10">
    <w:name w:val="0B2FCB2C6D314CE59B805B4EB6683D10"/>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1182</Words>
  <Characters>6743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2024-06-24T06:38:00Z</dcterms:created>
  <dcterms:modified xsi:type="dcterms:W3CDTF">2024-06-24T06:39:00Z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