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ED61" w14:textId="77777777" w:rsidR="00360103" w:rsidRPr="002C3EBF" w:rsidRDefault="00CA5B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C72293" wp14:editId="7E8649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0A7089" w14:textId="77777777" w:rsidR="00360103" w:rsidRDefault="00CA5B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8C30DA" w14:textId="77777777" w:rsidR="00360103" w:rsidRDefault="00CA5B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3B096A" w14:textId="77777777" w:rsidR="00360103" w:rsidRPr="002C3EBF" w:rsidRDefault="00CA5B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432B" w14:paraId="7889ADD1" w14:textId="77777777" w:rsidTr="00E7432B">
        <w:tc>
          <w:tcPr>
            <w:cnfStyle w:val="001000000000" w:firstRow="0" w:lastRow="0" w:firstColumn="1" w:lastColumn="0" w:oddVBand="0" w:evenVBand="0" w:oddHBand="0" w:evenHBand="0" w:firstRowFirstColumn="0" w:firstRowLastColumn="0" w:lastRowFirstColumn="0" w:lastRowLastColumn="0"/>
            <w:tcW w:w="3227" w:type="dxa"/>
          </w:tcPr>
          <w:p w14:paraId="33E508D7" w14:textId="77777777" w:rsidR="00360103" w:rsidRPr="00996FAF" w:rsidRDefault="00CA5B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90F812" w14:textId="77777777" w:rsidR="00360103" w:rsidRPr="00996FAF" w:rsidRDefault="00CA5B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Courtlands</w:t>
            </w:r>
            <w:proofErr w:type="spellEnd"/>
            <w:r w:rsidRPr="00C27BE3">
              <w:rPr>
                <w:rFonts w:ascii="Arial" w:hAnsi="Arial" w:cs="Arial"/>
              </w:rPr>
              <w:t xml:space="preserve"> Aged Care Facility</w:t>
            </w:r>
          </w:p>
        </w:tc>
      </w:tr>
      <w:tr w:rsidR="00E7432B" w14:paraId="4F14FCCE" w14:textId="77777777" w:rsidTr="00E74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E1EB0" w14:textId="77777777" w:rsidR="00360103" w:rsidRPr="00996FAF" w:rsidRDefault="00CA5B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4C3833" w14:textId="77777777" w:rsidR="00360103" w:rsidRPr="00C27BE3" w:rsidRDefault="00CA5B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0585</w:t>
            </w:r>
          </w:p>
        </w:tc>
      </w:tr>
      <w:tr w:rsidR="00E7432B" w14:paraId="5C75939B" w14:textId="77777777" w:rsidTr="00E743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34379" w14:textId="77777777" w:rsidR="00360103" w:rsidRPr="00996FAF" w:rsidRDefault="00CA5B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B07498" w14:textId="77777777" w:rsidR="00360103" w:rsidRPr="00996FAF" w:rsidRDefault="00CA5B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Gloucester</w:t>
            </w:r>
            <w:r>
              <w:rPr>
                <w:rFonts w:ascii="Arial" w:eastAsia="Times New Roman" w:hAnsi="Arial" w:cs="Arial"/>
                <w:lang w:eastAsia="en-AU"/>
              </w:rPr>
              <w:t xml:space="preserve"> Avenue, NORTH PARRAMATTA, New South Wales, 2151</w:t>
            </w:r>
          </w:p>
        </w:tc>
      </w:tr>
      <w:tr w:rsidR="00E7432B" w14:paraId="450C0711" w14:textId="77777777" w:rsidTr="00E74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AC777A" w14:textId="77777777" w:rsidR="00360103" w:rsidRPr="00996FAF" w:rsidRDefault="00CA5B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7058D0" w14:textId="77777777" w:rsidR="00360103" w:rsidRPr="00996FAF" w:rsidRDefault="00CA5B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7432B" w14:paraId="66BB10EB" w14:textId="77777777" w:rsidTr="00E743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7F967" w14:textId="77777777" w:rsidR="00360103" w:rsidRPr="00996FAF" w:rsidRDefault="00CA5B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A7E9A5" w14:textId="77777777" w:rsidR="00360103" w:rsidRPr="00996FAF" w:rsidRDefault="00CA5B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E7432B" w14:paraId="6E72EBA2" w14:textId="77777777" w:rsidTr="00E74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84E721" w14:textId="77777777" w:rsidR="00360103" w:rsidRPr="00996FAF" w:rsidRDefault="00CA5B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95859446"/>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52A3BC12" w14:textId="1B354FFB" w:rsidR="00360103" w:rsidRPr="00996FAF" w:rsidRDefault="00C762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E7432B" w14:paraId="6B849C9C" w14:textId="77777777" w:rsidTr="00E743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C691AC" w14:textId="77777777" w:rsidR="00360103" w:rsidRPr="00996FAF" w:rsidRDefault="00CA5B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CF5C02" w14:textId="77777777" w:rsidR="00360103" w:rsidRPr="009B6303" w:rsidRDefault="00CA5B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1008 Christadelphian Homes Limited </w:t>
            </w:r>
          </w:p>
          <w:p w14:paraId="6B09A179" w14:textId="77777777" w:rsidR="00360103" w:rsidRPr="009B6303" w:rsidRDefault="00CA5B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5467 </w:t>
            </w:r>
            <w:proofErr w:type="spellStart"/>
            <w:r w:rsidRPr="009B6303">
              <w:rPr>
                <w:rFonts w:ascii="Arial" w:hAnsi="Arial" w:cs="Arial"/>
              </w:rPr>
              <w:t>Courtlands</w:t>
            </w:r>
            <w:proofErr w:type="spellEnd"/>
            <w:r w:rsidRPr="009B6303">
              <w:rPr>
                <w:rFonts w:ascii="Arial" w:hAnsi="Arial" w:cs="Arial"/>
              </w:rPr>
              <w:t xml:space="preserve"> Aged Care Facility</w:t>
            </w:r>
          </w:p>
        </w:tc>
      </w:tr>
    </w:tbl>
    <w:bookmarkEnd w:id="0"/>
    <w:p w14:paraId="5978FE0A" w14:textId="77777777" w:rsidR="00360103" w:rsidRPr="00996FAF" w:rsidRDefault="00CA5B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B698BB" w14:textId="77777777" w:rsidR="00360103" w:rsidRPr="00996FAF" w:rsidRDefault="00CA5B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50E0245" w14:textId="3D0A7C3C" w:rsidR="00360103" w:rsidRPr="00996FAF" w:rsidRDefault="00CA5BCA" w:rsidP="0036130C">
      <w:pPr>
        <w:pStyle w:val="NormalArial"/>
      </w:pPr>
      <w:r w:rsidRPr="00996FAF">
        <w:t xml:space="preserve">This performance report for </w:t>
      </w:r>
      <w:proofErr w:type="spellStart"/>
      <w:r w:rsidRPr="00C27BE3">
        <w:rPr>
          <w:color w:val="auto"/>
        </w:rPr>
        <w:t>Courtlands</w:t>
      </w:r>
      <w:proofErr w:type="spellEnd"/>
      <w:r w:rsidRPr="00C27BE3">
        <w:rPr>
          <w:color w:val="auto"/>
        </w:rPr>
        <w:t xml:space="preserve"> Aged Care Facility</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B831BB">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79DDB8" w14:textId="77777777" w:rsidR="00360103" w:rsidRPr="00996FAF" w:rsidRDefault="00CA5B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3BAEB7" w14:textId="77777777" w:rsidR="00360103" w:rsidRPr="00996FAF" w:rsidRDefault="00CA5BCA" w:rsidP="0036130C">
      <w:pPr>
        <w:pStyle w:val="NormalArial"/>
      </w:pPr>
      <w:r w:rsidRPr="00996FAF">
        <w:t>The report also specifies any areas in which improvements must be made to ensure the Quality Standards are complied with.</w:t>
      </w:r>
    </w:p>
    <w:p w14:paraId="3FAA7846" w14:textId="77777777" w:rsidR="00360103" w:rsidRPr="00996FAF" w:rsidRDefault="00CA5BCA" w:rsidP="00712752">
      <w:pPr>
        <w:pStyle w:val="Heading1"/>
        <w:spacing w:before="240" w:after="240" w:line="22" w:lineRule="atLeast"/>
        <w:rPr>
          <w:rFonts w:ascii="Arial" w:hAnsi="Arial" w:cs="Arial"/>
        </w:rPr>
      </w:pPr>
      <w:r w:rsidRPr="00996FAF">
        <w:rPr>
          <w:rFonts w:ascii="Arial" w:hAnsi="Arial" w:cs="Arial"/>
        </w:rPr>
        <w:t>Material relied on</w:t>
      </w:r>
    </w:p>
    <w:p w14:paraId="09D4EE73" w14:textId="77777777" w:rsidR="00360103" w:rsidRPr="00996FAF" w:rsidRDefault="00CA5BCA" w:rsidP="0036130C">
      <w:pPr>
        <w:pStyle w:val="NormalArial"/>
      </w:pPr>
      <w:r w:rsidRPr="00996FAF">
        <w:t>The following information has been considered in preparing the performance report:</w:t>
      </w:r>
    </w:p>
    <w:p w14:paraId="48CC5D29" w14:textId="7345E93F" w:rsidR="00360103" w:rsidRPr="001428E5" w:rsidRDefault="00CA5BCA" w:rsidP="00712752">
      <w:pPr>
        <w:pStyle w:val="ListParagraph"/>
        <w:numPr>
          <w:ilvl w:val="0"/>
          <w:numId w:val="2"/>
        </w:numPr>
        <w:spacing w:line="240" w:lineRule="atLeast"/>
        <w:ind w:left="714" w:hanging="357"/>
        <w:contextualSpacing w:val="0"/>
        <w:rPr>
          <w:rFonts w:ascii="Arial" w:hAnsi="Arial" w:cs="Arial"/>
          <w:color w:val="auto"/>
        </w:rPr>
      </w:pPr>
      <w:r w:rsidRPr="001428E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1428E5" w:rsidRPr="001428E5">
        <w:rPr>
          <w:rFonts w:ascii="Arial" w:hAnsi="Arial" w:cs="Arial"/>
          <w:color w:val="auto"/>
        </w:rPr>
        <w:t xml:space="preserve">, </w:t>
      </w:r>
      <w:r w:rsidR="0051175B" w:rsidRPr="001428E5">
        <w:rPr>
          <w:rFonts w:ascii="Arial" w:hAnsi="Arial" w:cs="Arial"/>
          <w:color w:val="auto"/>
        </w:rPr>
        <w:t>representatives,</w:t>
      </w:r>
      <w:r w:rsidRPr="001428E5">
        <w:rPr>
          <w:rFonts w:ascii="Arial" w:hAnsi="Arial" w:cs="Arial"/>
          <w:color w:val="auto"/>
        </w:rPr>
        <w:t xml:space="preserve"> and others</w:t>
      </w:r>
      <w:r w:rsidR="001428E5" w:rsidRPr="001428E5">
        <w:rPr>
          <w:rFonts w:ascii="Arial" w:hAnsi="Arial" w:cs="Arial"/>
          <w:color w:val="auto"/>
        </w:rPr>
        <w:t xml:space="preserve">. </w:t>
      </w:r>
    </w:p>
    <w:p w14:paraId="3C67C7CB" w14:textId="77777777" w:rsidR="0051175B" w:rsidRPr="0051175B" w:rsidRDefault="00CA5BCA" w:rsidP="000E7E8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1175B">
        <w:rPr>
          <w:rFonts w:ascii="Arial" w:hAnsi="Arial" w:cs="Arial"/>
          <w:color w:val="auto"/>
        </w:rPr>
        <w:t xml:space="preserve">received </w:t>
      </w:r>
      <w:r w:rsidR="0051175B" w:rsidRPr="0051175B">
        <w:rPr>
          <w:rFonts w:ascii="Arial" w:hAnsi="Arial" w:cs="Arial"/>
          <w:color w:val="auto"/>
        </w:rPr>
        <w:t>23 April 2024.</w:t>
      </w:r>
    </w:p>
    <w:p w14:paraId="69E74304" w14:textId="0798F87C" w:rsidR="0051175B" w:rsidRPr="0051175B" w:rsidRDefault="0051175B" w:rsidP="000E7E8B">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9 June 2023, </w:t>
      </w:r>
      <w:r w:rsidRPr="00E93D76">
        <w:rPr>
          <w:rFonts w:ascii="Arial" w:hAnsi="Arial" w:cs="Arial"/>
        </w:rPr>
        <w:t xml:space="preserve">following the Site Audit undertaken from </w:t>
      </w:r>
      <w:r w:rsidRPr="00996FAF">
        <w:rPr>
          <w:rFonts w:ascii="Arial" w:hAnsi="Arial" w:cs="Arial"/>
          <w:color w:val="auto"/>
        </w:rPr>
        <w:t>28 March 2023 to 31 March 2023</w:t>
      </w:r>
      <w:r w:rsidRPr="00E93D76">
        <w:rPr>
          <w:rFonts w:ascii="Arial" w:hAnsi="Arial" w:cs="Arial"/>
        </w:rPr>
        <w:t>.</w:t>
      </w:r>
    </w:p>
    <w:p w14:paraId="60B543E9" w14:textId="5C1212CA" w:rsidR="00360103" w:rsidRPr="000E7E8B" w:rsidRDefault="00CA5BCA" w:rsidP="000E7E8B">
      <w:pPr>
        <w:pStyle w:val="ListParagraph"/>
        <w:numPr>
          <w:ilvl w:val="0"/>
          <w:numId w:val="2"/>
        </w:numPr>
        <w:spacing w:line="240" w:lineRule="atLeast"/>
        <w:ind w:left="714" w:hanging="357"/>
        <w:contextualSpacing w:val="0"/>
        <w:rPr>
          <w:rFonts w:ascii="Arial" w:hAnsi="Arial" w:cs="Arial"/>
          <w:color w:val="FF0000"/>
        </w:rPr>
      </w:pPr>
      <w:r w:rsidRPr="000E7E8B">
        <w:rPr>
          <w:rFonts w:ascii="Arial" w:hAnsi="Arial" w:cs="Arial"/>
        </w:rPr>
        <w:br w:type="page"/>
      </w:r>
    </w:p>
    <w:p w14:paraId="24FB3449" w14:textId="77777777" w:rsidR="00360103" w:rsidRPr="00996FAF" w:rsidRDefault="00CA5B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7432B" w14:paraId="26D37053" w14:textId="77777777" w:rsidTr="00E743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D61BE8" w14:textId="77777777" w:rsidR="00360103" w:rsidRPr="00996FAF" w:rsidRDefault="00CA5BC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7F96CE6" w14:textId="6AEBA5EE" w:rsidR="00360103" w:rsidRPr="002C5FA9" w:rsidRDefault="00CA5BC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3520577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32C60">
                  <w:rPr>
                    <w:rFonts w:ascii="Arial" w:hAnsi="Arial" w:cs="Arial"/>
                    <w:bCs/>
                  </w:rPr>
                  <w:t>Not Compliant</w:t>
                </w:r>
              </w:sdtContent>
            </w:sdt>
          </w:p>
        </w:tc>
      </w:tr>
      <w:tr w:rsidR="00E7432B" w14:paraId="0840C3F7" w14:textId="77777777" w:rsidTr="00E743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A94683" w14:textId="77777777" w:rsidR="00360103" w:rsidRPr="00996FAF" w:rsidRDefault="00CA5B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02DF64" w14:textId="33A874D3" w:rsidR="00360103" w:rsidRPr="002C5FA9" w:rsidRDefault="00CA5B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63339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55DA9">
                  <w:rPr>
                    <w:rFonts w:ascii="Arial" w:hAnsi="Arial" w:cs="Arial"/>
                    <w:b/>
                    <w:bCs/>
                  </w:rPr>
                  <w:t>Not Compliant</w:t>
                </w:r>
              </w:sdtContent>
            </w:sdt>
          </w:p>
        </w:tc>
      </w:tr>
    </w:tbl>
    <w:p w14:paraId="37AA9CE5" w14:textId="77777777" w:rsidR="00360103" w:rsidRPr="00996FAF" w:rsidRDefault="00CA5B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51BF94" w14:textId="77777777" w:rsidR="00360103" w:rsidRPr="00996FAF" w:rsidRDefault="00CA5BCA" w:rsidP="00712752">
      <w:pPr>
        <w:pStyle w:val="Heading1"/>
        <w:spacing w:before="0" w:after="240" w:line="22" w:lineRule="atLeast"/>
        <w:rPr>
          <w:rFonts w:ascii="Arial" w:hAnsi="Arial" w:cs="Arial"/>
        </w:rPr>
      </w:pPr>
      <w:r w:rsidRPr="00996FAF">
        <w:rPr>
          <w:rFonts w:ascii="Arial" w:hAnsi="Arial" w:cs="Arial"/>
        </w:rPr>
        <w:t>Areas for improvement</w:t>
      </w:r>
    </w:p>
    <w:p w14:paraId="29ACA14A" w14:textId="77777777" w:rsidR="00E87461" w:rsidRDefault="00CA5BCA" w:rsidP="0036130C">
      <w:pPr>
        <w:pStyle w:val="NormalArial"/>
      </w:pPr>
      <w:r w:rsidRPr="00996FAF">
        <w:t xml:space="preserve">Areas have been identified in which </w:t>
      </w:r>
      <w:r w:rsidRPr="004902CB">
        <w:rPr>
          <w:bCs/>
        </w:rPr>
        <w:t>improvements must be made to ensure compliance with the Quality Standards</w:t>
      </w:r>
      <w:r w:rsidRPr="004902CB">
        <w:rPr>
          <w:bCs/>
        </w:rPr>
        <w:t>.</w:t>
      </w:r>
      <w:r w:rsidRPr="00996FAF">
        <w:t xml:space="preserve"> This is based on non-compliance with the Quality Standards as described in this performance report.</w:t>
      </w:r>
    </w:p>
    <w:p w14:paraId="115FBC1F" w14:textId="35BFD709" w:rsidR="00E87461" w:rsidRPr="00655DA9" w:rsidRDefault="00E87461" w:rsidP="00655DA9">
      <w:pPr>
        <w:pStyle w:val="ListParagraph"/>
        <w:numPr>
          <w:ilvl w:val="0"/>
          <w:numId w:val="15"/>
        </w:numPr>
        <w:rPr>
          <w:rFonts w:ascii="Arial" w:hAnsi="Arial" w:cs="Arial"/>
        </w:rPr>
      </w:pPr>
      <w:r w:rsidRPr="00655DA9">
        <w:rPr>
          <w:rFonts w:ascii="Arial" w:hAnsi="Arial" w:cs="Arial"/>
        </w:rPr>
        <w:t>Requirement 3(3)(a) – the provider</w:t>
      </w:r>
      <w:r w:rsidR="00655DA9" w:rsidRPr="00655DA9">
        <w:rPr>
          <w:rFonts w:ascii="Arial" w:hAnsi="Arial" w:cs="Arial"/>
        </w:rPr>
        <w:t xml:space="preserve"> must demonstrate clinical and personal care provided to consumers is best practice, tailored to the consumer’s needs and optimises their health and well-being. Staff practices regarding management of medications, pain</w:t>
      </w:r>
      <w:r w:rsidR="00017438">
        <w:rPr>
          <w:rFonts w:ascii="Arial" w:hAnsi="Arial" w:cs="Arial"/>
        </w:rPr>
        <w:t xml:space="preserve">, </w:t>
      </w:r>
      <w:r w:rsidR="00655DA9" w:rsidRPr="00655DA9">
        <w:rPr>
          <w:rFonts w:ascii="Arial" w:hAnsi="Arial" w:cs="Arial"/>
        </w:rPr>
        <w:t>behaviour</w:t>
      </w:r>
      <w:r w:rsidR="00017438">
        <w:rPr>
          <w:rFonts w:ascii="Arial" w:hAnsi="Arial" w:cs="Arial"/>
        </w:rPr>
        <w:t>s</w:t>
      </w:r>
      <w:r w:rsidR="00655DA9" w:rsidRPr="00655DA9">
        <w:rPr>
          <w:rFonts w:ascii="Arial" w:hAnsi="Arial" w:cs="Arial"/>
        </w:rPr>
        <w:t>,</w:t>
      </w:r>
      <w:r w:rsidR="00017438">
        <w:rPr>
          <w:rFonts w:ascii="Arial" w:hAnsi="Arial" w:cs="Arial"/>
        </w:rPr>
        <w:t xml:space="preserve"> personal care,</w:t>
      </w:r>
      <w:r w:rsidR="00655DA9" w:rsidRPr="00655DA9">
        <w:rPr>
          <w:rFonts w:ascii="Arial" w:hAnsi="Arial" w:cs="Arial"/>
        </w:rPr>
        <w:t xml:space="preserve"> and clinical monitoring are guided by consumer’s needs and preferences and optimises their health and well-being.  Chemical restrictive practice processes are best practice, including used as a last resort after tailored non-pharmacological interventions to manage behaviour are evaluated as not effective. </w:t>
      </w:r>
    </w:p>
    <w:p w14:paraId="6939C3A7" w14:textId="395DA6B1" w:rsidR="00E87461" w:rsidRDefault="00E87461" w:rsidP="00E87461">
      <w:pPr>
        <w:pStyle w:val="NormalArial"/>
        <w:numPr>
          <w:ilvl w:val="0"/>
          <w:numId w:val="15"/>
        </w:numPr>
      </w:pPr>
      <w:r>
        <w:t xml:space="preserve">Requirement 3(3)(b) – </w:t>
      </w:r>
      <w:r w:rsidR="00655DA9">
        <w:t xml:space="preserve">the provider must demonstrate the </w:t>
      </w:r>
      <w:r w:rsidR="00655DA9" w:rsidRPr="002C5EFB">
        <w:t>high impact or high prevalen</w:t>
      </w:r>
      <w:r w:rsidR="00655DA9">
        <w:t>ce</w:t>
      </w:r>
      <w:r w:rsidR="00655DA9" w:rsidRPr="002C5EFB">
        <w:t xml:space="preserve"> risks associated with the care of consumers are effectively </w:t>
      </w:r>
      <w:r w:rsidR="00655DA9">
        <w:t xml:space="preserve">identified and </w:t>
      </w:r>
      <w:r w:rsidR="00655DA9" w:rsidRPr="002C5EFB">
        <w:t>managed.</w:t>
      </w:r>
      <w:r w:rsidR="00655DA9">
        <w:t xml:space="preserve"> This includes risks associated with medications and falls. Incidents are effectively investigated to identify interventions to minimise associated risks and reduce the risk of further incidents. </w:t>
      </w:r>
    </w:p>
    <w:p w14:paraId="64438767" w14:textId="79E19ED3" w:rsidR="00655DA9" w:rsidRDefault="00655DA9" w:rsidP="00E87461">
      <w:pPr>
        <w:pStyle w:val="NormalArial"/>
        <w:numPr>
          <w:ilvl w:val="0"/>
          <w:numId w:val="15"/>
        </w:numPr>
      </w:pPr>
      <w:r>
        <w:t xml:space="preserve">Requirement 8(3)(e) – the </w:t>
      </w:r>
      <w:r w:rsidRPr="0034613E">
        <w:rPr>
          <w:color w:val="auto"/>
        </w:rPr>
        <w:t xml:space="preserve">provider must demonstrate the </w:t>
      </w:r>
      <w:r w:rsidR="00017438">
        <w:rPr>
          <w:color w:val="auto"/>
        </w:rPr>
        <w:t xml:space="preserve">organisation’s </w:t>
      </w:r>
      <w:r w:rsidRPr="0034613E">
        <w:rPr>
          <w:color w:val="auto"/>
        </w:rPr>
        <w:t>clinical governance framework is effective</w:t>
      </w:r>
      <w:r>
        <w:rPr>
          <w:color w:val="auto"/>
        </w:rPr>
        <w:t>ly embedded</w:t>
      </w:r>
      <w:r w:rsidRPr="0034613E">
        <w:rPr>
          <w:color w:val="auto"/>
        </w:rPr>
        <w:t xml:space="preserve"> in </w:t>
      </w:r>
      <w:r>
        <w:rPr>
          <w:color w:val="auto"/>
        </w:rPr>
        <w:t xml:space="preserve">the service to </w:t>
      </w:r>
      <w:r w:rsidRPr="0034613E">
        <w:rPr>
          <w:color w:val="auto"/>
        </w:rPr>
        <w:t>ensur</w:t>
      </w:r>
      <w:r>
        <w:rPr>
          <w:color w:val="auto"/>
        </w:rPr>
        <w:t>e</w:t>
      </w:r>
      <w:r w:rsidRPr="0034613E">
        <w:rPr>
          <w:color w:val="auto"/>
        </w:rPr>
        <w:t xml:space="preserve"> safe and quality clinical care for consumers</w:t>
      </w:r>
      <w:r>
        <w:rPr>
          <w:color w:val="auto"/>
        </w:rPr>
        <w:t xml:space="preserve">. This includes effective reporting and oversight systems for the governing body to monitor the quality of clinical care, action any required improvements, and evaluate continuous improvement implemented.  </w:t>
      </w:r>
    </w:p>
    <w:p w14:paraId="6FF0B12B" w14:textId="568AA695" w:rsidR="00E87461" w:rsidRDefault="00655DA9" w:rsidP="0036130C">
      <w:pPr>
        <w:pStyle w:val="NormalArial"/>
        <w:numPr>
          <w:ilvl w:val="0"/>
          <w:numId w:val="15"/>
        </w:numPr>
      </w:pPr>
      <w:r>
        <w:t xml:space="preserve">The provider must demonstrate the service </w:t>
      </w:r>
      <w:r>
        <w:rPr>
          <w:rFonts w:eastAsiaTheme="minorHAnsi"/>
          <w:color w:val="auto"/>
          <w:szCs w:val="22"/>
        </w:rPr>
        <w:t>has implemented all continuous improvement actions identified in their response to the Assessment Contact report.</w:t>
      </w:r>
    </w:p>
    <w:p w14:paraId="5AD7DC21" w14:textId="7FC9A1BF" w:rsidR="00360103" w:rsidRPr="00996FAF" w:rsidRDefault="00CA5BCA" w:rsidP="0036130C">
      <w:pPr>
        <w:pStyle w:val="NormalArial"/>
      </w:pPr>
      <w:r w:rsidRPr="00996FAF">
        <w:br w:type="page"/>
      </w:r>
    </w:p>
    <w:p w14:paraId="605BBD67" w14:textId="77777777" w:rsidR="00360103" w:rsidRPr="00996FAF" w:rsidRDefault="00CA5B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7432B" w14:paraId="78368E09" w14:textId="77777777" w:rsidTr="00785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A7E139A" w14:textId="77777777" w:rsidR="00360103" w:rsidRPr="00996FAF" w:rsidRDefault="00CA5B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C2C61A" w14:textId="77777777" w:rsidR="00360103" w:rsidRPr="00996FAF" w:rsidRDefault="003601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432B" w14:paraId="6F43815D" w14:textId="77777777" w:rsidTr="00E743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3F11E" w14:textId="77777777" w:rsidR="00360103" w:rsidRPr="00996FAF" w:rsidRDefault="00CA5BC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7603DC" w14:textId="77777777" w:rsidR="00360103" w:rsidRPr="00996FAF" w:rsidRDefault="00CA5B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7EE158" w14:textId="77777777" w:rsidR="00360103" w:rsidRPr="00996FAF" w:rsidRDefault="00CA5B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97BF52" w14:textId="77777777" w:rsidR="00360103" w:rsidRPr="00996FAF" w:rsidRDefault="00CA5B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351CE" w14:textId="77777777" w:rsidR="00360103" w:rsidRPr="00996FAF" w:rsidRDefault="00CA5B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B61B57" w14:textId="2AFD0A1E" w:rsidR="00360103" w:rsidRPr="00996FAF" w:rsidRDefault="00CA5B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4196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44087">
                  <w:rPr>
                    <w:rFonts w:ascii="Arial" w:hAnsi="Arial" w:cs="Arial"/>
                    <w:color w:val="auto"/>
                  </w:rPr>
                  <w:t>Not Compliant</w:t>
                </w:r>
              </w:sdtContent>
            </w:sdt>
          </w:p>
        </w:tc>
      </w:tr>
      <w:tr w:rsidR="00E7432B" w14:paraId="63643AF7" w14:textId="77777777" w:rsidTr="00E74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6C5CC" w14:textId="77777777" w:rsidR="00360103" w:rsidRPr="00996FAF" w:rsidRDefault="00CA5BCA"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3(3)(b)</w:t>
            </w:r>
          </w:p>
        </w:tc>
        <w:tc>
          <w:tcPr>
            <w:tcW w:w="6496" w:type="dxa"/>
            <w:shd w:val="clear" w:color="auto" w:fill="auto"/>
          </w:tcPr>
          <w:p w14:paraId="639EE412" w14:textId="77777777" w:rsidR="00360103" w:rsidRPr="00996FAF" w:rsidRDefault="00CA5B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A072E2" w14:textId="488E72FB" w:rsidR="00360103" w:rsidRPr="00996FAF" w:rsidRDefault="00CA5B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2678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44087">
                  <w:rPr>
                    <w:rFonts w:ascii="Arial" w:hAnsi="Arial" w:cs="Arial"/>
                    <w:color w:val="auto"/>
                  </w:rPr>
                  <w:t>Not Compliant</w:t>
                </w:r>
              </w:sdtContent>
            </w:sdt>
          </w:p>
        </w:tc>
      </w:tr>
      <w:tr w:rsidR="00E7432B" w14:paraId="3516BDD7" w14:textId="77777777" w:rsidTr="00E743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5A7DF" w14:textId="77777777" w:rsidR="00360103" w:rsidRPr="00996FAF" w:rsidRDefault="00CA5BC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F75DC5E" w14:textId="77777777" w:rsidR="00360103" w:rsidRPr="00996FAF" w:rsidRDefault="00CA5B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w:t>
            </w:r>
            <w:r w:rsidRPr="00996FAF">
              <w:rPr>
                <w:rFonts w:ascii="Arial" w:hAnsi="Arial" w:cs="Arial"/>
              </w:rPr>
              <w:t>condition is recognised and responded to in a timely manner.</w:t>
            </w:r>
          </w:p>
        </w:tc>
        <w:tc>
          <w:tcPr>
            <w:tcW w:w="1977" w:type="dxa"/>
            <w:shd w:val="clear" w:color="auto" w:fill="auto"/>
          </w:tcPr>
          <w:p w14:paraId="6794087E" w14:textId="77777777" w:rsidR="00360103" w:rsidRPr="00996FAF" w:rsidRDefault="00CA5B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91443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C10FC9" w14:textId="77777777" w:rsidR="00360103" w:rsidRDefault="00CA5BCA" w:rsidP="00D87E7C">
      <w:pPr>
        <w:pStyle w:val="Heading20"/>
      </w:pPr>
      <w:r w:rsidRPr="00996FAF">
        <w:t>Findings</w:t>
      </w:r>
    </w:p>
    <w:p w14:paraId="40AE826F" w14:textId="030F714E" w:rsidR="006E2B30" w:rsidRDefault="006E2B30" w:rsidP="006E2B30">
      <w:pPr>
        <w:pStyle w:val="CommentText"/>
        <w:rPr>
          <w:rFonts w:ascii="Arial" w:hAnsi="Arial" w:cs="Arial"/>
          <w:color w:val="auto"/>
        </w:rPr>
      </w:pPr>
      <w:r w:rsidRPr="00844087">
        <w:rPr>
          <w:rFonts w:ascii="Arial" w:hAnsi="Arial" w:cs="Arial"/>
          <w:color w:val="auto"/>
        </w:rPr>
        <w:t xml:space="preserve">The Quality Standard is </w:t>
      </w:r>
      <w:r w:rsidR="00844087" w:rsidRPr="00844087">
        <w:rPr>
          <w:rFonts w:ascii="Arial" w:hAnsi="Arial" w:cs="Arial"/>
          <w:color w:val="auto"/>
        </w:rPr>
        <w:t xml:space="preserve">not </w:t>
      </w:r>
      <w:r w:rsidRPr="00844087">
        <w:rPr>
          <w:rFonts w:ascii="Arial" w:hAnsi="Arial" w:cs="Arial"/>
          <w:color w:val="auto"/>
        </w:rPr>
        <w:t xml:space="preserve">compliant as </w:t>
      </w:r>
      <w:r w:rsidR="00844087" w:rsidRPr="00844087">
        <w:rPr>
          <w:rFonts w:ascii="Arial" w:hAnsi="Arial" w:cs="Arial"/>
          <w:color w:val="auto"/>
        </w:rPr>
        <w:t xml:space="preserve">two of </w:t>
      </w:r>
      <w:r w:rsidRPr="00844087">
        <w:rPr>
          <w:rFonts w:ascii="Arial" w:hAnsi="Arial" w:cs="Arial"/>
          <w:color w:val="auto"/>
        </w:rPr>
        <w:t xml:space="preserve">the </w:t>
      </w:r>
      <w:r w:rsidR="00844087" w:rsidRPr="00844087">
        <w:rPr>
          <w:rFonts w:ascii="Arial" w:hAnsi="Arial" w:cs="Arial"/>
          <w:color w:val="auto"/>
        </w:rPr>
        <w:t>seven</w:t>
      </w:r>
      <w:r w:rsidRPr="00844087">
        <w:rPr>
          <w:rFonts w:ascii="Arial" w:hAnsi="Arial" w:cs="Arial"/>
          <w:color w:val="auto"/>
        </w:rPr>
        <w:t xml:space="preserve"> specific Requirements have been assessed as </w:t>
      </w:r>
      <w:r w:rsidR="00844087" w:rsidRPr="00844087">
        <w:rPr>
          <w:rFonts w:ascii="Arial" w:hAnsi="Arial" w:cs="Arial"/>
          <w:color w:val="auto"/>
        </w:rPr>
        <w:t xml:space="preserve">not </w:t>
      </w:r>
      <w:r w:rsidRPr="00844087">
        <w:rPr>
          <w:rFonts w:ascii="Arial" w:hAnsi="Arial" w:cs="Arial"/>
          <w:color w:val="auto"/>
        </w:rPr>
        <w:t>compliant.</w:t>
      </w:r>
      <w:r w:rsidRPr="00E93D76">
        <w:rPr>
          <w:rFonts w:ascii="Arial" w:hAnsi="Arial" w:cs="Arial"/>
          <w:color w:val="auto"/>
        </w:rPr>
        <w:t xml:space="preserve"> </w:t>
      </w:r>
    </w:p>
    <w:p w14:paraId="57D9C774" w14:textId="77777777" w:rsidR="006E2B30" w:rsidRDefault="006E2B30" w:rsidP="0036130C">
      <w:pPr>
        <w:pStyle w:val="NormalArial"/>
      </w:pPr>
      <w:r w:rsidRPr="00E93D76">
        <w:rPr>
          <w:color w:val="auto"/>
        </w:rPr>
        <w:t xml:space="preserve">The service was previously found </w:t>
      </w:r>
      <w:r>
        <w:rPr>
          <w:color w:val="auto"/>
        </w:rPr>
        <w:t>not c</w:t>
      </w:r>
      <w:r w:rsidRPr="00E93D76">
        <w:rPr>
          <w:color w:val="auto"/>
        </w:rPr>
        <w:t xml:space="preserve">ompliant in Requirement </w:t>
      </w:r>
      <w:r>
        <w:rPr>
          <w:color w:val="auto"/>
        </w:rPr>
        <w:t>3</w:t>
      </w:r>
      <w:r w:rsidRPr="00E93D76">
        <w:rPr>
          <w:color w:val="auto"/>
        </w:rPr>
        <w:t>(3)(</w:t>
      </w:r>
      <w:r>
        <w:rPr>
          <w:color w:val="auto"/>
        </w:rPr>
        <w:t>a</w:t>
      </w:r>
      <w:r w:rsidRPr="00E93D76">
        <w:rPr>
          <w:color w:val="auto"/>
        </w:rPr>
        <w:t>)</w:t>
      </w:r>
      <w:r>
        <w:rPr>
          <w:color w:val="auto"/>
        </w:rPr>
        <w:t>, Requirement 3(3)(b), and Requirement 3(3)(d)</w:t>
      </w:r>
      <w:r w:rsidRPr="00E93D76">
        <w:rPr>
          <w:color w:val="auto"/>
        </w:rPr>
        <w:t xml:space="preserve"> following a Site Audit conducted </w:t>
      </w:r>
      <w:r w:rsidRPr="00996FAF">
        <w:rPr>
          <w:color w:val="auto"/>
        </w:rPr>
        <w:t>28 March 2023 to 31 March 2023</w:t>
      </w:r>
      <w:r w:rsidRPr="00E93D76">
        <w:t>.</w:t>
      </w:r>
    </w:p>
    <w:p w14:paraId="2F1145AE" w14:textId="77777777" w:rsidR="004F453C" w:rsidRDefault="006E2B30" w:rsidP="0036130C">
      <w:pPr>
        <w:pStyle w:val="NormalArial"/>
      </w:pPr>
      <w:r>
        <w:t xml:space="preserve">At the Assessment Contact conducted </w:t>
      </w:r>
      <w:r w:rsidRPr="006E2B30">
        <w:t>3 April 2024 to 4 April 2024</w:t>
      </w:r>
      <w:r>
        <w:t xml:space="preserve">, the Assessment Team found while the service had implemented continuous improvement action in response to the non-compliance, this had not been effective in ensuring safe and effective clinical care and management of high impact and high prevalence risks. </w:t>
      </w:r>
    </w:p>
    <w:p w14:paraId="0028734D" w14:textId="5E6DA2F4" w:rsidR="007E3807" w:rsidRDefault="007E3807" w:rsidP="0036130C">
      <w:pPr>
        <w:pStyle w:val="NormalArial"/>
      </w:pPr>
      <w:r>
        <w:t xml:space="preserve">While most consumers and representatives provided positive feedback regarding the personal and clinical care consumers receive, one representative did not feel their consumer was receiving safe and effective personal care. The </w:t>
      </w:r>
      <w:r w:rsidR="001D6A50">
        <w:t>representative</w:t>
      </w:r>
      <w:r>
        <w:t xml:space="preserve"> provided negative feedback regarding personal hygiene care including dental care and showering. </w:t>
      </w:r>
      <w:r w:rsidR="007009F0">
        <w:t>Complaint documentation reviewed identified</w:t>
      </w:r>
      <w:r>
        <w:t xml:space="preserve"> a representative had complained in late 2023 about their consumer not receiving time-sensitive medications </w:t>
      </w:r>
      <w:r w:rsidR="007009F0">
        <w:t xml:space="preserve">within the directed timeframe. The Assessment Team found the consumer continued to receive their time-sensitive medications late on several occasions in the weeks prior to the Assessment Contact, leading to potential negative impacts to the consumer’s health and well-being. </w:t>
      </w:r>
    </w:p>
    <w:p w14:paraId="38555CCE" w14:textId="1C17F1A8" w:rsidR="00895FBA" w:rsidRDefault="00FC6F66" w:rsidP="0036130C">
      <w:pPr>
        <w:pStyle w:val="NormalArial"/>
      </w:pPr>
      <w:r>
        <w:t>For four consumers sampled by t</w:t>
      </w:r>
      <w:r w:rsidR="00895FBA">
        <w:t>he Assessment Team, assessment, monitoring and management of pain and</w:t>
      </w:r>
      <w:r w:rsidR="0085184E">
        <w:t>/or</w:t>
      </w:r>
      <w:r w:rsidR="00895FBA">
        <w:t xml:space="preserve"> behaviours was not tailored to their needs to optimise their health and well-being. This included ensuring chemical restrictive practice is used as a last resort after individualised non-pharmacological interventions are evaluated as not effective</w:t>
      </w:r>
      <w:r w:rsidR="00583E5C">
        <w:t>, and use of non-verbal pain assessment tools when indicated</w:t>
      </w:r>
      <w:r w:rsidR="00895FBA">
        <w:t xml:space="preserve">. </w:t>
      </w:r>
      <w:r w:rsidR="0085184E">
        <w:t xml:space="preserve">For </w:t>
      </w:r>
      <w:r w:rsidR="00DF67F7">
        <w:t>two</w:t>
      </w:r>
      <w:r w:rsidR="0085184E">
        <w:t xml:space="preserve"> consumers, monitoring and documentation of their wound was not in line with best practice</w:t>
      </w:r>
      <w:r w:rsidR="00DF67F7">
        <w:t xml:space="preserve">, and for another consumer monitoring and documentation of their clinical condition was not safe and effective. </w:t>
      </w:r>
    </w:p>
    <w:p w14:paraId="38B4A30B" w14:textId="29278C80" w:rsidR="009A02CD" w:rsidRDefault="00CB5E67" w:rsidP="0036130C">
      <w:pPr>
        <w:pStyle w:val="NormalArial"/>
        <w:rPr>
          <w:color w:val="auto"/>
        </w:rPr>
      </w:pPr>
      <w:r>
        <w:t xml:space="preserve">For several consumers sampled by the Assessment Team, the high impact and high prevalence risks associated with their care were not effectively managed. </w:t>
      </w:r>
      <w:r w:rsidR="009A02CD">
        <w:t xml:space="preserve">While the service has implemented improved processes for identifying, </w:t>
      </w:r>
      <w:r w:rsidR="00A5302F">
        <w:t>monitoring,</w:t>
      </w:r>
      <w:r w:rsidR="009A02CD">
        <w:t xml:space="preserve"> and actioning improvements to high impact and high prevalence risks across the service, there were some gaps in the identification of incidents for consumers and evaluation of risk mitigation strategies. </w:t>
      </w:r>
      <w:r w:rsidR="00D57BE2">
        <w:t xml:space="preserve">For one consumer who sustained an injury </w:t>
      </w:r>
      <w:proofErr w:type="gramStart"/>
      <w:r w:rsidR="00D57BE2">
        <w:t>as a result of</w:t>
      </w:r>
      <w:proofErr w:type="gramEnd"/>
      <w:r w:rsidR="00D57BE2">
        <w:t xml:space="preserve"> an incident, response following the incident including clinical assessment, monitoring and management was not safe and effective. The </w:t>
      </w:r>
      <w:r w:rsidR="00D57BE2">
        <w:lastRenderedPageBreak/>
        <w:t xml:space="preserve">Assessment Team found limited investigation following the incident to mitigate the risk of further incidents. </w:t>
      </w:r>
      <w:r w:rsidR="00BD15C1">
        <w:t xml:space="preserve">For </w:t>
      </w:r>
      <w:r w:rsidR="00A5302F">
        <w:t>another</w:t>
      </w:r>
      <w:r w:rsidR="00BD15C1">
        <w:t xml:space="preserve"> consumer, risks associated with falls and their behaviours had not been effectively managed to optimise the consumer’s health and </w:t>
      </w:r>
      <w:proofErr w:type="gramStart"/>
      <w:r w:rsidR="00BD15C1">
        <w:t>well-being, and</w:t>
      </w:r>
      <w:proofErr w:type="gramEnd"/>
      <w:r w:rsidR="00BD15C1">
        <w:t xml:space="preserve"> minimise impact to other consumers. For consumers who had experienced recent falls, while </w:t>
      </w:r>
      <w:r w:rsidR="00BD15C1">
        <w:rPr>
          <w:color w:val="auto"/>
        </w:rPr>
        <w:t xml:space="preserve">contributing factors to the falls were generally identified, it </w:t>
      </w:r>
      <w:r w:rsidR="00A5302F">
        <w:rPr>
          <w:color w:val="auto"/>
        </w:rPr>
        <w:t>was</w:t>
      </w:r>
      <w:r w:rsidR="00BD15C1">
        <w:rPr>
          <w:color w:val="auto"/>
        </w:rPr>
        <w:t xml:space="preserve"> </w:t>
      </w:r>
      <w:r w:rsidR="00A5302F">
        <w:rPr>
          <w:color w:val="auto"/>
        </w:rPr>
        <w:t xml:space="preserve">not </w:t>
      </w:r>
      <w:r w:rsidR="00BD15C1">
        <w:rPr>
          <w:color w:val="auto"/>
        </w:rPr>
        <w:t xml:space="preserve">evident these were further investigated to </w:t>
      </w:r>
      <w:r w:rsidR="00E16897">
        <w:rPr>
          <w:color w:val="auto"/>
        </w:rPr>
        <w:t xml:space="preserve">identify effective strategies to </w:t>
      </w:r>
      <w:r w:rsidR="00BD15C1">
        <w:rPr>
          <w:color w:val="auto"/>
        </w:rPr>
        <w:t xml:space="preserve">prevent </w:t>
      </w:r>
      <w:r w:rsidR="00E16897">
        <w:rPr>
          <w:color w:val="auto"/>
        </w:rPr>
        <w:t>further fall</w:t>
      </w:r>
      <w:r w:rsidR="00A16BF5">
        <w:rPr>
          <w:color w:val="auto"/>
        </w:rPr>
        <w:t>s</w:t>
      </w:r>
      <w:r w:rsidR="00BD15C1">
        <w:rPr>
          <w:color w:val="auto"/>
        </w:rPr>
        <w:t>.</w:t>
      </w:r>
      <w:r w:rsidR="00BD15C1">
        <w:t xml:space="preserve"> </w:t>
      </w:r>
      <w:r w:rsidR="00BD15C1">
        <w:rPr>
          <w:color w:val="auto"/>
        </w:rPr>
        <w:t xml:space="preserve">The Assessment Team found some incidents </w:t>
      </w:r>
      <w:r w:rsidR="00A16BF5">
        <w:rPr>
          <w:color w:val="auto"/>
        </w:rPr>
        <w:t>were</w:t>
      </w:r>
      <w:r w:rsidR="00BD15C1">
        <w:rPr>
          <w:color w:val="auto"/>
        </w:rPr>
        <w:t xml:space="preserve"> not being reported by staff for escalation to management to assist with recognition and management of risks associated with consumer care.</w:t>
      </w:r>
    </w:p>
    <w:p w14:paraId="070F3DB3" w14:textId="4A396049" w:rsidR="00752AC0" w:rsidRDefault="005A7AD5" w:rsidP="0036130C">
      <w:pPr>
        <w:pStyle w:val="NormalArial"/>
        <w:rPr>
          <w:color w:val="auto"/>
        </w:rPr>
      </w:pPr>
      <w:r>
        <w:rPr>
          <w:color w:val="auto"/>
        </w:rPr>
        <w:t xml:space="preserve">The provider’s response to the Assessment Contact report acknowledges the improvements required regarding pain assessment, management of time-sensitive medications, behaviour management, </w:t>
      </w:r>
      <w:r w:rsidR="00C46908">
        <w:rPr>
          <w:color w:val="auto"/>
        </w:rPr>
        <w:t xml:space="preserve">and risk management. </w:t>
      </w:r>
      <w:r>
        <w:rPr>
          <w:color w:val="auto"/>
        </w:rPr>
        <w:t xml:space="preserve">The provider's response identifies continuous improvement implemented by the service to improve the delivery of personal and clinical care, and the management of high impact and high prevalence risks. This includes staff education and training, development of a new </w:t>
      </w:r>
      <w:proofErr w:type="gramStart"/>
      <w:r>
        <w:rPr>
          <w:color w:val="auto"/>
        </w:rPr>
        <w:t>high risk</w:t>
      </w:r>
      <w:proofErr w:type="gramEnd"/>
      <w:r>
        <w:rPr>
          <w:color w:val="auto"/>
        </w:rPr>
        <w:t xml:space="preserve"> register, changes to medication processes with a focus on timely administration, improved clinical oversight, review of behaviour support plans, </w:t>
      </w:r>
      <w:r w:rsidR="004E2C03">
        <w:rPr>
          <w:color w:val="auto"/>
        </w:rPr>
        <w:t xml:space="preserve">implementation of additional non-verbal pain assessment tools, and improvements to the </w:t>
      </w:r>
      <w:r w:rsidR="009C5926">
        <w:rPr>
          <w:color w:val="auto"/>
        </w:rPr>
        <w:t xml:space="preserve">processes for clinical monitoring and re-assessment following hospital admission. </w:t>
      </w:r>
      <w:r w:rsidR="006B2FFA">
        <w:rPr>
          <w:color w:val="auto"/>
        </w:rPr>
        <w:t xml:space="preserve">The provider’s response demonstrates they have followed up with the consumer whose representative raised concern regarding personal care, and other consumers identified by the Assessment Team with gaps in clinical care, to review and implement improvements to care. </w:t>
      </w:r>
      <w:r>
        <w:rPr>
          <w:color w:val="auto"/>
        </w:rPr>
        <w:t xml:space="preserve">The organisation implemented a new quality role to support clinical improvements </w:t>
      </w:r>
      <w:r w:rsidR="008D714C">
        <w:rPr>
          <w:color w:val="auto"/>
        </w:rPr>
        <w:t xml:space="preserve">at the service, </w:t>
      </w:r>
      <w:r>
        <w:rPr>
          <w:color w:val="auto"/>
        </w:rPr>
        <w:t xml:space="preserve">which commenced in early March 2024. The service has engaged with the Commission </w:t>
      </w:r>
      <w:r w:rsidR="008F2BB9">
        <w:rPr>
          <w:color w:val="auto"/>
        </w:rPr>
        <w:t xml:space="preserve">for </w:t>
      </w:r>
      <w:r>
        <w:rPr>
          <w:color w:val="auto"/>
        </w:rPr>
        <w:t xml:space="preserve">additional support around improving clinical care delivery and outcomes for consumers. </w:t>
      </w:r>
    </w:p>
    <w:p w14:paraId="4CDCFEF1" w14:textId="54CF12F8" w:rsidR="006B2FFA" w:rsidRDefault="006B2FFA" w:rsidP="006B2FFA">
      <w:pPr>
        <w:pStyle w:val="NormalArial"/>
      </w:pPr>
      <w:r>
        <w:t xml:space="preserve">While the service has identified continuous improvement action in response to the Assessment Contact, these improvements are in the process of being fully implemented and require time to ensure they are effective </w:t>
      </w:r>
      <w:r w:rsidR="003F6D27">
        <w:t xml:space="preserve">in </w:t>
      </w:r>
      <w:r w:rsidR="002E7C82">
        <w:t xml:space="preserve">rectifying the issues raised and previous non-compliance. </w:t>
      </w:r>
      <w:r>
        <w:t xml:space="preserve">Considering the service was found not compliant in </w:t>
      </w:r>
      <w:r>
        <w:rPr>
          <w:color w:val="auto"/>
        </w:rPr>
        <w:t xml:space="preserve">Requirement 3(3)(a) and Requirement 3(3)(b) following the Site Audit in March 2023, I am not satisfied that the service has demonstrated </w:t>
      </w:r>
      <w:r>
        <w:t xml:space="preserve">delivery of best practice personal and clinical care and the </w:t>
      </w:r>
      <w:r w:rsidR="002E7C82">
        <w:t xml:space="preserve">effective </w:t>
      </w:r>
      <w:r>
        <w:t>management of high impact and high prevalence risks</w:t>
      </w:r>
      <w:r w:rsidR="000357C0">
        <w:t xml:space="preserve">. </w:t>
      </w:r>
    </w:p>
    <w:p w14:paraId="2260108F" w14:textId="700B2AC9" w:rsidR="00752AC0" w:rsidRDefault="00752AC0" w:rsidP="0036130C">
      <w:pPr>
        <w:pStyle w:val="NormalArial"/>
      </w:pPr>
      <w:r>
        <w:rPr>
          <w:color w:val="auto"/>
        </w:rPr>
        <w:t xml:space="preserve">I find Requirement 3(3)(a) and Requirement 3(3)(b) </w:t>
      </w:r>
      <w:r w:rsidR="000357C0">
        <w:rPr>
          <w:color w:val="auto"/>
        </w:rPr>
        <w:t>are</w:t>
      </w:r>
      <w:r>
        <w:rPr>
          <w:color w:val="auto"/>
        </w:rPr>
        <w:t xml:space="preserve"> not compliant. </w:t>
      </w:r>
    </w:p>
    <w:p w14:paraId="0147B9F4" w14:textId="4741340E" w:rsidR="00803773" w:rsidRDefault="00BD7638" w:rsidP="0036130C">
      <w:pPr>
        <w:pStyle w:val="NormalArial"/>
        <w:rPr>
          <w:color w:val="auto"/>
        </w:rPr>
      </w:pPr>
      <w:r>
        <w:t xml:space="preserve">At the Assessment Contact conducted </w:t>
      </w:r>
      <w:r w:rsidRPr="006E2B30">
        <w:t>3 April 2024 to 4 April 2024</w:t>
      </w:r>
      <w:r>
        <w:t xml:space="preserve">, service management </w:t>
      </w:r>
      <w:r>
        <w:rPr>
          <w:color w:val="auto"/>
        </w:rPr>
        <w:t>described the systems and processes for identifying and responding to changes in consumer condition or clinical deterioration. For the consumers sampled</w:t>
      </w:r>
      <w:r w:rsidR="00D4222E">
        <w:rPr>
          <w:color w:val="auto"/>
        </w:rPr>
        <w:t xml:space="preserve"> by the Assessment Team,</w:t>
      </w:r>
      <w:r>
        <w:rPr>
          <w:color w:val="auto"/>
        </w:rPr>
        <w:t xml:space="preserve"> these </w:t>
      </w:r>
      <w:r w:rsidR="00D4222E">
        <w:rPr>
          <w:color w:val="auto"/>
        </w:rPr>
        <w:t xml:space="preserve">processes </w:t>
      </w:r>
      <w:r>
        <w:rPr>
          <w:color w:val="auto"/>
        </w:rPr>
        <w:t xml:space="preserve">had been implemented in timely and appropriate ways. This was evident in review of consumer care </w:t>
      </w:r>
      <w:r w:rsidR="003F6D27">
        <w:rPr>
          <w:color w:val="auto"/>
        </w:rPr>
        <w:t>documentation</w:t>
      </w:r>
      <w:r>
        <w:rPr>
          <w:color w:val="auto"/>
        </w:rPr>
        <w:t>, interviews with staff, observations made, and follow-up with management.</w:t>
      </w:r>
      <w:r w:rsidR="00D4222E">
        <w:rPr>
          <w:color w:val="auto"/>
        </w:rPr>
        <w:t xml:space="preserve"> For example,</w:t>
      </w:r>
      <w:r w:rsidR="00A57028">
        <w:rPr>
          <w:color w:val="auto"/>
        </w:rPr>
        <w:t xml:space="preserve"> timely and appropriate action</w:t>
      </w:r>
      <w:r w:rsidR="0052204C">
        <w:rPr>
          <w:color w:val="auto"/>
        </w:rPr>
        <w:t xml:space="preserve"> was taken for one consumer following an identified change in condition, including vital sign observations, clinical monitoring, </w:t>
      </w:r>
      <w:r w:rsidR="00D84867">
        <w:rPr>
          <w:color w:val="auto"/>
        </w:rPr>
        <w:t xml:space="preserve">testing for infection, </w:t>
      </w:r>
      <w:r w:rsidR="0052204C">
        <w:rPr>
          <w:color w:val="auto"/>
        </w:rPr>
        <w:t xml:space="preserve">escalation to the medical officer, and transfer to hospital. </w:t>
      </w:r>
      <w:r w:rsidR="00D84867">
        <w:rPr>
          <w:color w:val="auto"/>
        </w:rPr>
        <w:t xml:space="preserve">For another consumer, changes in their weight and nutritional intake </w:t>
      </w:r>
      <w:proofErr w:type="gramStart"/>
      <w:r w:rsidR="00D84867">
        <w:rPr>
          <w:color w:val="auto"/>
        </w:rPr>
        <w:t>was</w:t>
      </w:r>
      <w:proofErr w:type="gramEnd"/>
      <w:r w:rsidR="00D84867">
        <w:rPr>
          <w:color w:val="auto"/>
        </w:rPr>
        <w:t xml:space="preserve"> identified, with appropriate assessment by allied health staff, monitoring, and supplementation undertaken in response. </w:t>
      </w:r>
      <w:r w:rsidR="006E2538">
        <w:rPr>
          <w:color w:val="auto"/>
        </w:rPr>
        <w:t xml:space="preserve">I am satisfied the service’s processes for identification and response to changes in consumer condition, health and capacity are effectively implemented at the service, and informing staff practice. </w:t>
      </w:r>
    </w:p>
    <w:p w14:paraId="1336287E" w14:textId="108CB6A6" w:rsidR="00D84867" w:rsidRPr="0052204C" w:rsidRDefault="00D84867" w:rsidP="0036130C">
      <w:pPr>
        <w:pStyle w:val="NormalArial"/>
        <w:rPr>
          <w:color w:val="auto"/>
        </w:rPr>
      </w:pPr>
      <w:r>
        <w:rPr>
          <w:color w:val="auto"/>
        </w:rPr>
        <w:t xml:space="preserve">I find Requirement 3(3)(d) is compliant. </w:t>
      </w:r>
    </w:p>
    <w:p w14:paraId="7F570BCF" w14:textId="77777777" w:rsidR="004902CB" w:rsidRDefault="004902CB">
      <w:pPr>
        <w:spacing w:after="160" w:line="259" w:lineRule="auto"/>
        <w:rPr>
          <w:rFonts w:ascii="Arial" w:hAnsi="Arial" w:cs="Arial"/>
          <w:b/>
          <w:bCs/>
          <w:sz w:val="30"/>
          <w:szCs w:val="28"/>
        </w:rPr>
      </w:pPr>
      <w:r>
        <w:rPr>
          <w:rFonts w:ascii="Arial" w:hAnsi="Arial" w:cs="Arial"/>
        </w:rPr>
        <w:br w:type="page"/>
      </w:r>
    </w:p>
    <w:p w14:paraId="4C84F50D" w14:textId="7B04B9C1" w:rsidR="00360103" w:rsidRPr="00996FAF" w:rsidRDefault="00CA5B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7432B" w14:paraId="3A1C7ACF" w14:textId="77777777" w:rsidTr="00E74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B9C82B" w14:textId="77777777" w:rsidR="00360103" w:rsidRPr="00996FAF" w:rsidRDefault="00CA5B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40E84C" w14:textId="77777777" w:rsidR="00360103" w:rsidRPr="00996FAF" w:rsidRDefault="003601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432B" w14:paraId="4C58B82F" w14:textId="77777777" w:rsidTr="00E743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115ABF" w14:textId="77777777" w:rsidR="00360103" w:rsidRPr="00996FAF" w:rsidRDefault="00CA5BC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4D31C89" w14:textId="77777777" w:rsidR="00360103" w:rsidRPr="00996FAF" w:rsidRDefault="00CA5B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w:t>
            </w:r>
            <w:r w:rsidRPr="00996FAF">
              <w:rPr>
                <w:rFonts w:ascii="Arial" w:hAnsi="Arial" w:cs="Arial"/>
              </w:rPr>
              <w:t>governance framework, including but not limited to the following:</w:t>
            </w:r>
          </w:p>
          <w:p w14:paraId="61FABB17" w14:textId="77777777" w:rsidR="00360103" w:rsidRPr="00996FAF" w:rsidRDefault="00CA5B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AE83CFE" w14:textId="77777777" w:rsidR="00360103" w:rsidRPr="00996FAF" w:rsidRDefault="00CA5B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78BBBB" w14:textId="77777777" w:rsidR="00360103" w:rsidRPr="00996FAF" w:rsidRDefault="00CA5B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C6DEA9" w14:textId="29320639" w:rsidR="00360103" w:rsidRPr="00996FAF" w:rsidRDefault="00CA5B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27776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84260">
                  <w:rPr>
                    <w:rFonts w:ascii="Arial" w:hAnsi="Arial" w:cs="Arial"/>
                    <w:color w:val="auto"/>
                  </w:rPr>
                  <w:t>Not Compliant</w:t>
                </w:r>
              </w:sdtContent>
            </w:sdt>
          </w:p>
        </w:tc>
      </w:tr>
    </w:tbl>
    <w:p w14:paraId="029EC529" w14:textId="77777777" w:rsidR="00360103" w:rsidRDefault="00CA5BCA" w:rsidP="00D87E7C">
      <w:pPr>
        <w:pStyle w:val="Heading20"/>
      </w:pPr>
      <w:r w:rsidRPr="00996FAF">
        <w:t>Findings</w:t>
      </w:r>
    </w:p>
    <w:p w14:paraId="2696B258" w14:textId="0602E32B" w:rsidR="00F84260" w:rsidRDefault="00F84260" w:rsidP="00F84260">
      <w:pPr>
        <w:pStyle w:val="CommentText"/>
        <w:rPr>
          <w:rFonts w:ascii="Arial" w:hAnsi="Arial" w:cs="Arial"/>
          <w:color w:val="auto"/>
        </w:rPr>
      </w:pPr>
      <w:r w:rsidRPr="00844087">
        <w:rPr>
          <w:rFonts w:ascii="Arial" w:hAnsi="Arial" w:cs="Arial"/>
          <w:color w:val="auto"/>
        </w:rPr>
        <w:t xml:space="preserve">The Quality Standard is not compliant as </w:t>
      </w:r>
      <w:r>
        <w:rPr>
          <w:rFonts w:ascii="Arial" w:hAnsi="Arial" w:cs="Arial"/>
          <w:color w:val="auto"/>
        </w:rPr>
        <w:t>one</w:t>
      </w:r>
      <w:r w:rsidRPr="00844087">
        <w:rPr>
          <w:rFonts w:ascii="Arial" w:hAnsi="Arial" w:cs="Arial"/>
          <w:color w:val="auto"/>
        </w:rPr>
        <w:t xml:space="preserve"> of the </w:t>
      </w:r>
      <w:r>
        <w:rPr>
          <w:rFonts w:ascii="Arial" w:hAnsi="Arial" w:cs="Arial"/>
          <w:color w:val="auto"/>
        </w:rPr>
        <w:t>five</w:t>
      </w:r>
      <w:r w:rsidRPr="00844087">
        <w:rPr>
          <w:rFonts w:ascii="Arial" w:hAnsi="Arial" w:cs="Arial"/>
          <w:color w:val="auto"/>
        </w:rPr>
        <w:t xml:space="preserve"> specific Requirements ha</w:t>
      </w:r>
      <w:r>
        <w:rPr>
          <w:rFonts w:ascii="Arial" w:hAnsi="Arial" w:cs="Arial"/>
          <w:color w:val="auto"/>
        </w:rPr>
        <w:t>s</w:t>
      </w:r>
      <w:r w:rsidRPr="00844087">
        <w:rPr>
          <w:rFonts w:ascii="Arial" w:hAnsi="Arial" w:cs="Arial"/>
          <w:color w:val="auto"/>
        </w:rPr>
        <w:t xml:space="preserve"> been assessed as not compliant.</w:t>
      </w:r>
      <w:r w:rsidRPr="00E93D76">
        <w:rPr>
          <w:rFonts w:ascii="Arial" w:hAnsi="Arial" w:cs="Arial"/>
          <w:color w:val="auto"/>
        </w:rPr>
        <w:t xml:space="preserve"> </w:t>
      </w:r>
    </w:p>
    <w:p w14:paraId="5064DD80" w14:textId="7B54026B" w:rsidR="00F84260" w:rsidRPr="00F84260" w:rsidRDefault="00F84260" w:rsidP="00F84260">
      <w:pPr>
        <w:pStyle w:val="CommentText"/>
        <w:rPr>
          <w:rFonts w:ascii="Arial" w:hAnsi="Arial" w:cs="Arial"/>
          <w:color w:val="auto"/>
        </w:rPr>
      </w:pPr>
      <w:r w:rsidRPr="00F84260">
        <w:rPr>
          <w:rFonts w:ascii="Arial" w:hAnsi="Arial" w:cs="Arial"/>
          <w:color w:val="auto"/>
        </w:rPr>
        <w:t xml:space="preserve">The service was previously found not compliant in </w:t>
      </w:r>
      <w:r>
        <w:rPr>
          <w:rFonts w:ascii="Arial" w:hAnsi="Arial" w:cs="Arial"/>
          <w:color w:val="auto"/>
        </w:rPr>
        <w:t>Requirement</w:t>
      </w:r>
      <w:r w:rsidRPr="00F84260">
        <w:rPr>
          <w:rFonts w:ascii="Arial" w:hAnsi="Arial" w:cs="Arial"/>
          <w:color w:val="auto"/>
        </w:rPr>
        <w:t xml:space="preserve"> </w:t>
      </w:r>
      <w:r>
        <w:rPr>
          <w:rFonts w:ascii="Arial" w:hAnsi="Arial" w:cs="Arial"/>
          <w:color w:val="auto"/>
        </w:rPr>
        <w:t>8</w:t>
      </w:r>
      <w:r w:rsidRPr="00F84260">
        <w:rPr>
          <w:rFonts w:ascii="Arial" w:hAnsi="Arial" w:cs="Arial"/>
          <w:color w:val="auto"/>
        </w:rPr>
        <w:t>(3)(</w:t>
      </w:r>
      <w:r>
        <w:rPr>
          <w:rFonts w:ascii="Arial" w:hAnsi="Arial" w:cs="Arial"/>
          <w:color w:val="auto"/>
        </w:rPr>
        <w:t>e</w:t>
      </w:r>
      <w:r w:rsidRPr="00F84260">
        <w:rPr>
          <w:rFonts w:ascii="Arial" w:hAnsi="Arial" w:cs="Arial"/>
          <w:color w:val="auto"/>
        </w:rPr>
        <w:t>) following a Site Audit conducted 28 March 2023 to 31 March 2023.</w:t>
      </w:r>
    </w:p>
    <w:p w14:paraId="7E6CC79D" w14:textId="3D18C27F" w:rsidR="00F84260" w:rsidRDefault="00F84260" w:rsidP="00F84260">
      <w:pPr>
        <w:pStyle w:val="CommentText"/>
        <w:rPr>
          <w:rFonts w:ascii="Arial" w:hAnsi="Arial" w:cs="Arial"/>
          <w:color w:val="auto"/>
        </w:rPr>
      </w:pPr>
      <w:r w:rsidRPr="00F84260">
        <w:rPr>
          <w:rFonts w:ascii="Arial" w:hAnsi="Arial" w:cs="Arial"/>
          <w:color w:val="auto"/>
        </w:rPr>
        <w:t>At the Assessment Contact conducted 3 April 2024 to 4 April 2024, the Assessment Team</w:t>
      </w:r>
      <w:r w:rsidR="00FD2C2C">
        <w:rPr>
          <w:rFonts w:ascii="Arial" w:hAnsi="Arial" w:cs="Arial"/>
          <w:color w:val="auto"/>
        </w:rPr>
        <w:t xml:space="preserve"> found the organisation has a clinical governance framework that includes policies and procedures on antimicrobial stewardship, minimising the use of restrictive practices, and open disclosure. The governance framework includes </w:t>
      </w:r>
      <w:r w:rsidR="009E2827">
        <w:rPr>
          <w:rFonts w:ascii="Arial" w:hAnsi="Arial" w:cs="Arial"/>
          <w:color w:val="auto"/>
        </w:rPr>
        <w:t xml:space="preserve">some </w:t>
      </w:r>
      <w:r w:rsidR="00FD2C2C" w:rsidRPr="00FD2C2C">
        <w:rPr>
          <w:rFonts w:ascii="Arial" w:hAnsi="Arial" w:cs="Arial"/>
          <w:color w:val="auto"/>
        </w:rPr>
        <w:t>systems and processes for collecting, analysing, and reporting on clinical performanc</w:t>
      </w:r>
      <w:r w:rsidR="00FD2C2C">
        <w:rPr>
          <w:rFonts w:ascii="Arial" w:hAnsi="Arial" w:cs="Arial"/>
          <w:color w:val="auto"/>
        </w:rPr>
        <w:t xml:space="preserve">e, and information is </w:t>
      </w:r>
      <w:r w:rsidR="00FD2C2C" w:rsidRPr="00FD2C2C">
        <w:rPr>
          <w:rFonts w:ascii="Arial" w:hAnsi="Arial" w:cs="Arial"/>
          <w:color w:val="auto"/>
        </w:rPr>
        <w:t>provided to the governing body on an ongoing basis.</w:t>
      </w:r>
      <w:r w:rsidR="00FD2C2C">
        <w:rPr>
          <w:rFonts w:ascii="Arial" w:hAnsi="Arial" w:cs="Arial"/>
          <w:color w:val="auto"/>
        </w:rPr>
        <w:t xml:space="preserve"> However, while </w:t>
      </w:r>
      <w:r w:rsidR="00FD2C2C" w:rsidRPr="00FD2C2C">
        <w:rPr>
          <w:rFonts w:ascii="Arial" w:hAnsi="Arial" w:cs="Arial"/>
          <w:color w:val="auto"/>
        </w:rPr>
        <w:t>there are organisational quality and safety systems, these are not well embedded or are not entirely effective at the service.</w:t>
      </w:r>
      <w:r w:rsidR="00FD2C2C">
        <w:rPr>
          <w:rFonts w:ascii="Arial" w:hAnsi="Arial" w:cs="Arial"/>
          <w:color w:val="auto"/>
        </w:rPr>
        <w:t xml:space="preserve"> While the service </w:t>
      </w:r>
      <w:r w:rsidR="00A30CE4">
        <w:rPr>
          <w:rFonts w:ascii="Arial" w:hAnsi="Arial" w:cs="Arial"/>
          <w:color w:val="auto"/>
        </w:rPr>
        <w:t>undertook</w:t>
      </w:r>
      <w:r w:rsidR="00FD2C2C">
        <w:rPr>
          <w:rFonts w:ascii="Arial" w:hAnsi="Arial" w:cs="Arial"/>
          <w:color w:val="auto"/>
        </w:rPr>
        <w:t xml:space="preserve"> education</w:t>
      </w:r>
      <w:r w:rsidR="00A30CE4">
        <w:rPr>
          <w:rFonts w:ascii="Arial" w:hAnsi="Arial" w:cs="Arial"/>
          <w:color w:val="auto"/>
        </w:rPr>
        <w:t xml:space="preserve">, </w:t>
      </w:r>
      <w:r w:rsidR="00685CCA">
        <w:rPr>
          <w:rFonts w:ascii="Arial" w:hAnsi="Arial" w:cs="Arial"/>
          <w:color w:val="auto"/>
        </w:rPr>
        <w:t>training,</w:t>
      </w:r>
      <w:r w:rsidR="00A30CE4">
        <w:rPr>
          <w:rFonts w:ascii="Arial" w:hAnsi="Arial" w:cs="Arial"/>
          <w:color w:val="auto"/>
        </w:rPr>
        <w:t xml:space="preserve"> and continuous improvement</w:t>
      </w:r>
      <w:r w:rsidR="00FD2C2C">
        <w:rPr>
          <w:rFonts w:ascii="Arial" w:hAnsi="Arial" w:cs="Arial"/>
          <w:color w:val="auto"/>
        </w:rPr>
        <w:t xml:space="preserve"> in response to the non-compliance identified at the Site Audit in March 2023, there was </w:t>
      </w:r>
      <w:r w:rsidR="00685CCA">
        <w:rPr>
          <w:rFonts w:ascii="Arial" w:hAnsi="Arial" w:cs="Arial"/>
          <w:color w:val="auto"/>
        </w:rPr>
        <w:t>little</w:t>
      </w:r>
      <w:r w:rsidR="00FD2C2C">
        <w:rPr>
          <w:rFonts w:ascii="Arial" w:hAnsi="Arial" w:cs="Arial"/>
          <w:color w:val="auto"/>
        </w:rPr>
        <w:t xml:space="preserve"> evidence of evaluation to determine effectiveness, and similar issues were identified at this Assessment Contact. </w:t>
      </w:r>
      <w:r w:rsidR="005456C2">
        <w:rPr>
          <w:rFonts w:ascii="Arial" w:hAnsi="Arial" w:cs="Arial"/>
          <w:color w:val="auto"/>
        </w:rPr>
        <w:t xml:space="preserve">The Assessment Team found the organisation’s policies and procedures regarding incident management were not being followed effectively at the service, including for consumers experiencing falls. </w:t>
      </w:r>
      <w:r w:rsidR="00460841">
        <w:rPr>
          <w:rFonts w:ascii="Arial" w:hAnsi="Arial" w:cs="Arial"/>
          <w:color w:val="auto"/>
        </w:rPr>
        <w:t xml:space="preserve">While the </w:t>
      </w:r>
      <w:r w:rsidR="00460841" w:rsidRPr="00460841">
        <w:rPr>
          <w:rFonts w:ascii="Arial" w:hAnsi="Arial" w:cs="Arial"/>
          <w:color w:val="auto"/>
        </w:rPr>
        <w:t xml:space="preserve">organisation’s </w:t>
      </w:r>
      <w:r w:rsidR="00460841">
        <w:rPr>
          <w:rFonts w:ascii="Arial" w:hAnsi="Arial" w:cs="Arial"/>
          <w:color w:val="auto"/>
        </w:rPr>
        <w:t>antimicrobial stewardship</w:t>
      </w:r>
      <w:r w:rsidR="00460841" w:rsidRPr="00460841">
        <w:rPr>
          <w:rFonts w:ascii="Arial" w:hAnsi="Arial" w:cs="Arial"/>
          <w:color w:val="auto"/>
        </w:rPr>
        <w:t xml:space="preserve"> policy and procedure outlines measures for monitoring clinical performance</w:t>
      </w:r>
      <w:r w:rsidR="00460841">
        <w:rPr>
          <w:rFonts w:ascii="Arial" w:hAnsi="Arial" w:cs="Arial"/>
          <w:color w:val="auto"/>
        </w:rPr>
        <w:t xml:space="preserve">, this information was not being communicated to the governing body for their oversight. </w:t>
      </w:r>
    </w:p>
    <w:p w14:paraId="1FFE6075" w14:textId="446F4C01" w:rsidR="00360103" w:rsidRPr="00146433" w:rsidRDefault="00A51ACB" w:rsidP="00146433">
      <w:pPr>
        <w:pStyle w:val="CommentText"/>
        <w:rPr>
          <w:rFonts w:ascii="Arial" w:hAnsi="Arial" w:cs="Arial"/>
          <w:color w:val="auto"/>
        </w:rPr>
      </w:pPr>
      <w:r>
        <w:rPr>
          <w:rFonts w:ascii="Arial" w:hAnsi="Arial" w:cs="Arial"/>
          <w:color w:val="auto"/>
        </w:rPr>
        <w:t>The provider’s response to the Assessment Contact report</w:t>
      </w:r>
      <w:r w:rsidR="00505DA3">
        <w:rPr>
          <w:rFonts w:ascii="Arial" w:hAnsi="Arial" w:cs="Arial"/>
          <w:color w:val="auto"/>
        </w:rPr>
        <w:t xml:space="preserve"> </w:t>
      </w:r>
      <w:r w:rsidR="00517D24">
        <w:rPr>
          <w:rFonts w:ascii="Arial" w:hAnsi="Arial" w:cs="Arial"/>
          <w:color w:val="auto"/>
        </w:rPr>
        <w:t>highlights the provider’s commitment to delivering safe and quality care, however</w:t>
      </w:r>
      <w:r w:rsidR="008D714C">
        <w:rPr>
          <w:rFonts w:ascii="Arial" w:hAnsi="Arial" w:cs="Arial"/>
          <w:color w:val="auto"/>
        </w:rPr>
        <w:t>,</w:t>
      </w:r>
      <w:r w:rsidR="00517D24">
        <w:rPr>
          <w:rFonts w:ascii="Arial" w:hAnsi="Arial" w:cs="Arial"/>
          <w:color w:val="auto"/>
        </w:rPr>
        <w:t xml:space="preserve"> acknowledges that additional work is required to embed the clinical governance framework into the service’s practices. </w:t>
      </w:r>
      <w:r w:rsidR="008D714C" w:rsidRPr="008D714C">
        <w:rPr>
          <w:rFonts w:ascii="Arial" w:hAnsi="Arial" w:cs="Arial"/>
          <w:color w:val="auto"/>
        </w:rPr>
        <w:t xml:space="preserve">The organisation </w:t>
      </w:r>
      <w:r w:rsidR="00146433">
        <w:rPr>
          <w:rFonts w:ascii="Arial" w:hAnsi="Arial" w:cs="Arial"/>
          <w:color w:val="auto"/>
        </w:rPr>
        <w:t xml:space="preserve">has worked to engage suitably experienced and qualified staff across their clinical governance and governing bodies, including a new </w:t>
      </w:r>
      <w:r w:rsidR="00146433" w:rsidRPr="008D714C">
        <w:rPr>
          <w:rFonts w:ascii="Arial" w:hAnsi="Arial" w:cs="Arial"/>
          <w:color w:val="auto"/>
        </w:rPr>
        <w:t>quality role to support clinical improvements which commenced in early March 2024</w:t>
      </w:r>
      <w:r w:rsidR="00146433">
        <w:rPr>
          <w:rFonts w:ascii="Arial" w:hAnsi="Arial" w:cs="Arial"/>
          <w:color w:val="auto"/>
        </w:rPr>
        <w:t xml:space="preserve">. </w:t>
      </w:r>
      <w:r w:rsidRPr="00146433">
        <w:rPr>
          <w:rFonts w:ascii="Arial" w:hAnsi="Arial" w:cs="Arial"/>
          <w:color w:val="auto"/>
        </w:rPr>
        <w:t xml:space="preserve">The service identified during the Assessment Contact, and reiterated in the provider's response, improved reporting on </w:t>
      </w:r>
      <w:r>
        <w:rPr>
          <w:rFonts w:ascii="Arial" w:hAnsi="Arial" w:cs="Arial"/>
          <w:color w:val="auto"/>
        </w:rPr>
        <w:t>antimicrobial stewardship</w:t>
      </w:r>
      <w:r w:rsidRPr="00146433">
        <w:rPr>
          <w:rFonts w:ascii="Arial" w:hAnsi="Arial" w:cs="Arial"/>
          <w:color w:val="auto"/>
        </w:rPr>
        <w:t xml:space="preserve"> measures and performance which will be provided to the governing body on a regular basis.</w:t>
      </w:r>
      <w:r>
        <w:rPr>
          <w:color w:val="auto"/>
        </w:rPr>
        <w:t xml:space="preserve"> </w:t>
      </w:r>
    </w:p>
    <w:p w14:paraId="774DDA0E" w14:textId="4ED876D1" w:rsidR="00517D24" w:rsidRDefault="00EE57F8" w:rsidP="00F84260">
      <w:pPr>
        <w:pStyle w:val="NormalArial"/>
        <w:rPr>
          <w:color w:val="auto"/>
        </w:rPr>
      </w:pPr>
      <w:r>
        <w:rPr>
          <w:color w:val="auto"/>
        </w:rPr>
        <w:t xml:space="preserve">While the governing body has an awareness of the deficits in the implementation of the organisation’s clinical governance </w:t>
      </w:r>
      <w:r w:rsidR="009E6EAD">
        <w:rPr>
          <w:color w:val="auto"/>
        </w:rPr>
        <w:t>framework</w:t>
      </w:r>
      <w:r>
        <w:rPr>
          <w:color w:val="auto"/>
        </w:rPr>
        <w:t xml:space="preserve"> at the service, and has commenced action to improve this, </w:t>
      </w:r>
      <w:r w:rsidR="00A848BD">
        <w:rPr>
          <w:color w:val="auto"/>
        </w:rPr>
        <w:t xml:space="preserve">the service has not yet demonstrated the clinical governance framework is effectively embedded to ensure </w:t>
      </w:r>
      <w:r w:rsidR="00E957A7">
        <w:rPr>
          <w:color w:val="auto"/>
        </w:rPr>
        <w:t xml:space="preserve">consumers </w:t>
      </w:r>
      <w:r w:rsidR="00C27C97">
        <w:rPr>
          <w:color w:val="auto"/>
        </w:rPr>
        <w:t>consistently</w:t>
      </w:r>
      <w:r w:rsidR="00E957A7">
        <w:rPr>
          <w:color w:val="auto"/>
        </w:rPr>
        <w:t xml:space="preserve"> receive safe and effective clinical care. </w:t>
      </w:r>
    </w:p>
    <w:p w14:paraId="77457FAE" w14:textId="4D8708AB" w:rsidR="00517D24" w:rsidRPr="00712752" w:rsidRDefault="00F74168" w:rsidP="00F84260">
      <w:pPr>
        <w:pStyle w:val="NormalArial"/>
      </w:pPr>
      <w:r>
        <w:rPr>
          <w:color w:val="auto"/>
        </w:rPr>
        <w:t xml:space="preserve">I find Requirement 8(3)(e) is not compliant. </w:t>
      </w:r>
    </w:p>
    <w:sectPr w:rsidR="00517D24" w:rsidRPr="00712752" w:rsidSect="008052B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6BABD" w14:textId="77777777" w:rsidR="008052B5" w:rsidRDefault="008052B5">
      <w:pPr>
        <w:spacing w:after="0"/>
      </w:pPr>
      <w:r>
        <w:separator/>
      </w:r>
    </w:p>
  </w:endnote>
  <w:endnote w:type="continuationSeparator" w:id="0">
    <w:p w14:paraId="4AE2D686" w14:textId="77777777" w:rsidR="008052B5" w:rsidRDefault="008052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AF80" w14:textId="77777777" w:rsidR="00360103" w:rsidRPr="00DF37F2" w:rsidRDefault="00CA5BC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Courtlands</w:t>
    </w:r>
    <w:proofErr w:type="spellEnd"/>
    <w:r w:rsidRPr="00D3376F">
      <w:rPr>
        <w:rFonts w:cs="Times New Roman"/>
        <w:color w:val="auto"/>
        <w:szCs w:val="18"/>
      </w:rPr>
      <w:t xml:space="preserv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79A8D4" w14:textId="77777777" w:rsidR="00360103" w:rsidRPr="00DF37F2" w:rsidRDefault="00CA5B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0585</w:t>
    </w:r>
    <w:bookmarkEnd w:id="1"/>
    <w:r w:rsidRPr="00DF37F2">
      <w:rPr>
        <w:rStyle w:val="FooterBold"/>
        <w:rFonts w:ascii="Arial" w:hAnsi="Arial"/>
        <w:b w:val="0"/>
      </w:rPr>
      <w:tab/>
      <w:t xml:space="preserve">OFFICIAL: Sensitive </w:t>
    </w:r>
  </w:p>
  <w:p w14:paraId="5F4E92FF" w14:textId="77777777" w:rsidR="00360103" w:rsidRPr="00DF37F2" w:rsidRDefault="00CA5B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B3B6" w14:textId="77777777" w:rsidR="00360103" w:rsidRDefault="0036010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D63F0" w14:textId="77777777" w:rsidR="008052B5" w:rsidRDefault="008052B5" w:rsidP="00D71F88">
      <w:pPr>
        <w:spacing w:after="0"/>
      </w:pPr>
      <w:r>
        <w:separator/>
      </w:r>
    </w:p>
  </w:footnote>
  <w:footnote w:type="continuationSeparator" w:id="0">
    <w:p w14:paraId="47C9FE58" w14:textId="77777777" w:rsidR="008052B5" w:rsidRDefault="008052B5" w:rsidP="00D71F88">
      <w:pPr>
        <w:spacing w:after="0"/>
      </w:pPr>
      <w:r>
        <w:continuationSeparator/>
      </w:r>
    </w:p>
  </w:footnote>
  <w:footnote w:id="1">
    <w:p w14:paraId="56B814ED" w14:textId="52E994E0" w:rsidR="00360103" w:rsidRDefault="00CA5B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70592">
        <w:rPr>
          <w:rFonts w:ascii="Arial" w:hAnsi="Arial" w:cs="Arial"/>
          <w:color w:val="auto"/>
          <w:sz w:val="20"/>
          <w:szCs w:val="20"/>
        </w:rPr>
        <w:t xml:space="preserve">section </w:t>
      </w:r>
      <w:r w:rsidR="00B70592" w:rsidRPr="00B70592">
        <w:rPr>
          <w:rFonts w:ascii="Arial" w:hAnsi="Arial" w:cs="Arial"/>
          <w:color w:val="auto"/>
          <w:sz w:val="20"/>
          <w:szCs w:val="20"/>
        </w:rPr>
        <w:t>6</w:t>
      </w:r>
      <w:r w:rsidRPr="00B70592">
        <w:rPr>
          <w:rFonts w:ascii="Arial" w:hAnsi="Arial" w:cs="Arial"/>
          <w:color w:val="auto"/>
          <w:sz w:val="20"/>
          <w:szCs w:val="20"/>
        </w:rPr>
        <w:t>8A</w:t>
      </w:r>
      <w:r w:rsidRPr="00B70592">
        <w:rPr>
          <w:rFonts w:ascii="Arial" w:hAnsi="Arial" w:cs="Arial"/>
          <w:b/>
          <w:color w:val="auto"/>
          <w:sz w:val="20"/>
          <w:szCs w:val="20"/>
        </w:rPr>
        <w:t xml:space="preserve"> </w:t>
      </w:r>
      <w:r w:rsidRPr="00B70592">
        <w:rPr>
          <w:rFonts w:ascii="Arial" w:hAnsi="Arial" w:cs="Arial"/>
          <w:color w:val="auto"/>
          <w:sz w:val="20"/>
          <w:szCs w:val="20"/>
        </w:rPr>
        <w:t>of the Aged Care Quality and Safety Commission Rules 2018.</w:t>
      </w:r>
    </w:p>
    <w:p w14:paraId="6F07ACF3" w14:textId="77777777" w:rsidR="00360103" w:rsidRDefault="003601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8C04" w14:textId="77777777" w:rsidR="00360103" w:rsidRDefault="00CA5BCA">
    <w:pPr>
      <w:pStyle w:val="Header"/>
    </w:pPr>
    <w:r>
      <w:rPr>
        <w:noProof/>
        <w:color w:val="2B579A"/>
        <w:shd w:val="clear" w:color="auto" w:fill="E6E6E6"/>
        <w:lang w:val="en-US"/>
      </w:rPr>
      <w:drawing>
        <wp:anchor distT="0" distB="0" distL="114300" distR="114300" simplePos="0" relativeHeight="251658241" behindDoc="1" locked="0" layoutInCell="1" allowOverlap="1" wp14:anchorId="3E2771C0" wp14:editId="0A439B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A0CC" w14:textId="77777777" w:rsidR="00360103" w:rsidRDefault="00CA5BCA">
    <w:pPr>
      <w:pStyle w:val="Header"/>
    </w:pPr>
    <w:r>
      <w:rPr>
        <w:noProof/>
      </w:rPr>
      <w:drawing>
        <wp:anchor distT="0" distB="0" distL="114300" distR="114300" simplePos="0" relativeHeight="251658240" behindDoc="0" locked="0" layoutInCell="1" allowOverlap="1" wp14:anchorId="5EBA2BA0" wp14:editId="272879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5AD3E2">
      <w:start w:val="1"/>
      <w:numFmt w:val="lowerRoman"/>
      <w:lvlText w:val="(%1)"/>
      <w:lvlJc w:val="left"/>
      <w:pPr>
        <w:ind w:left="1080" w:hanging="720"/>
      </w:pPr>
      <w:rPr>
        <w:rFonts w:hint="default"/>
      </w:rPr>
    </w:lvl>
    <w:lvl w:ilvl="1" w:tplc="052A76AC" w:tentative="1">
      <w:start w:val="1"/>
      <w:numFmt w:val="lowerLetter"/>
      <w:lvlText w:val="%2."/>
      <w:lvlJc w:val="left"/>
      <w:pPr>
        <w:ind w:left="1440" w:hanging="360"/>
      </w:pPr>
    </w:lvl>
    <w:lvl w:ilvl="2" w:tplc="04A6B99C" w:tentative="1">
      <w:start w:val="1"/>
      <w:numFmt w:val="lowerRoman"/>
      <w:lvlText w:val="%3."/>
      <w:lvlJc w:val="right"/>
      <w:pPr>
        <w:ind w:left="2160" w:hanging="180"/>
      </w:pPr>
    </w:lvl>
    <w:lvl w:ilvl="3" w:tplc="35CC30A6" w:tentative="1">
      <w:start w:val="1"/>
      <w:numFmt w:val="decimal"/>
      <w:lvlText w:val="%4."/>
      <w:lvlJc w:val="left"/>
      <w:pPr>
        <w:ind w:left="2880" w:hanging="360"/>
      </w:pPr>
    </w:lvl>
    <w:lvl w:ilvl="4" w:tplc="BCB896B8" w:tentative="1">
      <w:start w:val="1"/>
      <w:numFmt w:val="lowerLetter"/>
      <w:lvlText w:val="%5."/>
      <w:lvlJc w:val="left"/>
      <w:pPr>
        <w:ind w:left="3600" w:hanging="360"/>
      </w:pPr>
    </w:lvl>
    <w:lvl w:ilvl="5" w:tplc="862A5A20" w:tentative="1">
      <w:start w:val="1"/>
      <w:numFmt w:val="lowerRoman"/>
      <w:lvlText w:val="%6."/>
      <w:lvlJc w:val="right"/>
      <w:pPr>
        <w:ind w:left="4320" w:hanging="180"/>
      </w:pPr>
    </w:lvl>
    <w:lvl w:ilvl="6" w:tplc="F8824378" w:tentative="1">
      <w:start w:val="1"/>
      <w:numFmt w:val="decimal"/>
      <w:lvlText w:val="%7."/>
      <w:lvlJc w:val="left"/>
      <w:pPr>
        <w:ind w:left="5040" w:hanging="360"/>
      </w:pPr>
    </w:lvl>
    <w:lvl w:ilvl="7" w:tplc="D1C28C88" w:tentative="1">
      <w:start w:val="1"/>
      <w:numFmt w:val="lowerLetter"/>
      <w:lvlText w:val="%8."/>
      <w:lvlJc w:val="left"/>
      <w:pPr>
        <w:ind w:left="5760" w:hanging="360"/>
      </w:pPr>
    </w:lvl>
    <w:lvl w:ilvl="8" w:tplc="A5426E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F08CD0">
      <w:start w:val="1"/>
      <w:numFmt w:val="lowerRoman"/>
      <w:lvlText w:val="(%1)"/>
      <w:lvlJc w:val="left"/>
      <w:pPr>
        <w:ind w:left="1080" w:hanging="720"/>
      </w:pPr>
      <w:rPr>
        <w:rFonts w:hint="default"/>
      </w:rPr>
    </w:lvl>
    <w:lvl w:ilvl="1" w:tplc="A202C11C" w:tentative="1">
      <w:start w:val="1"/>
      <w:numFmt w:val="lowerLetter"/>
      <w:lvlText w:val="%2."/>
      <w:lvlJc w:val="left"/>
      <w:pPr>
        <w:ind w:left="1440" w:hanging="360"/>
      </w:pPr>
    </w:lvl>
    <w:lvl w:ilvl="2" w:tplc="CC16EC42" w:tentative="1">
      <w:start w:val="1"/>
      <w:numFmt w:val="lowerRoman"/>
      <w:lvlText w:val="%3."/>
      <w:lvlJc w:val="right"/>
      <w:pPr>
        <w:ind w:left="2160" w:hanging="180"/>
      </w:pPr>
    </w:lvl>
    <w:lvl w:ilvl="3" w:tplc="440044C6" w:tentative="1">
      <w:start w:val="1"/>
      <w:numFmt w:val="decimal"/>
      <w:lvlText w:val="%4."/>
      <w:lvlJc w:val="left"/>
      <w:pPr>
        <w:ind w:left="2880" w:hanging="360"/>
      </w:pPr>
    </w:lvl>
    <w:lvl w:ilvl="4" w:tplc="C1B49792" w:tentative="1">
      <w:start w:val="1"/>
      <w:numFmt w:val="lowerLetter"/>
      <w:lvlText w:val="%5."/>
      <w:lvlJc w:val="left"/>
      <w:pPr>
        <w:ind w:left="3600" w:hanging="360"/>
      </w:pPr>
    </w:lvl>
    <w:lvl w:ilvl="5" w:tplc="64104EAA" w:tentative="1">
      <w:start w:val="1"/>
      <w:numFmt w:val="lowerRoman"/>
      <w:lvlText w:val="%6."/>
      <w:lvlJc w:val="right"/>
      <w:pPr>
        <w:ind w:left="4320" w:hanging="180"/>
      </w:pPr>
    </w:lvl>
    <w:lvl w:ilvl="6" w:tplc="372A99B2" w:tentative="1">
      <w:start w:val="1"/>
      <w:numFmt w:val="decimal"/>
      <w:lvlText w:val="%7."/>
      <w:lvlJc w:val="left"/>
      <w:pPr>
        <w:ind w:left="5040" w:hanging="360"/>
      </w:pPr>
    </w:lvl>
    <w:lvl w:ilvl="7" w:tplc="F050C604" w:tentative="1">
      <w:start w:val="1"/>
      <w:numFmt w:val="lowerLetter"/>
      <w:lvlText w:val="%8."/>
      <w:lvlJc w:val="left"/>
      <w:pPr>
        <w:ind w:left="5760" w:hanging="360"/>
      </w:pPr>
    </w:lvl>
    <w:lvl w:ilvl="8" w:tplc="297250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640084">
      <w:start w:val="1"/>
      <w:numFmt w:val="lowerRoman"/>
      <w:lvlText w:val="(%1)"/>
      <w:lvlJc w:val="left"/>
      <w:pPr>
        <w:ind w:left="1080" w:hanging="720"/>
      </w:pPr>
      <w:rPr>
        <w:rFonts w:hint="default"/>
      </w:rPr>
    </w:lvl>
    <w:lvl w:ilvl="1" w:tplc="2DF8F3DC" w:tentative="1">
      <w:start w:val="1"/>
      <w:numFmt w:val="lowerLetter"/>
      <w:lvlText w:val="%2."/>
      <w:lvlJc w:val="left"/>
      <w:pPr>
        <w:ind w:left="1440" w:hanging="360"/>
      </w:pPr>
    </w:lvl>
    <w:lvl w:ilvl="2" w:tplc="D5FA6364" w:tentative="1">
      <w:start w:val="1"/>
      <w:numFmt w:val="lowerRoman"/>
      <w:lvlText w:val="%3."/>
      <w:lvlJc w:val="right"/>
      <w:pPr>
        <w:ind w:left="2160" w:hanging="180"/>
      </w:pPr>
    </w:lvl>
    <w:lvl w:ilvl="3" w:tplc="58F650E8" w:tentative="1">
      <w:start w:val="1"/>
      <w:numFmt w:val="decimal"/>
      <w:lvlText w:val="%4."/>
      <w:lvlJc w:val="left"/>
      <w:pPr>
        <w:ind w:left="2880" w:hanging="360"/>
      </w:pPr>
    </w:lvl>
    <w:lvl w:ilvl="4" w:tplc="24E0EE4E" w:tentative="1">
      <w:start w:val="1"/>
      <w:numFmt w:val="lowerLetter"/>
      <w:lvlText w:val="%5."/>
      <w:lvlJc w:val="left"/>
      <w:pPr>
        <w:ind w:left="3600" w:hanging="360"/>
      </w:pPr>
    </w:lvl>
    <w:lvl w:ilvl="5" w:tplc="C32ABA6A" w:tentative="1">
      <w:start w:val="1"/>
      <w:numFmt w:val="lowerRoman"/>
      <w:lvlText w:val="%6."/>
      <w:lvlJc w:val="right"/>
      <w:pPr>
        <w:ind w:left="4320" w:hanging="180"/>
      </w:pPr>
    </w:lvl>
    <w:lvl w:ilvl="6" w:tplc="FAC4BB1C" w:tentative="1">
      <w:start w:val="1"/>
      <w:numFmt w:val="decimal"/>
      <w:lvlText w:val="%7."/>
      <w:lvlJc w:val="left"/>
      <w:pPr>
        <w:ind w:left="5040" w:hanging="360"/>
      </w:pPr>
    </w:lvl>
    <w:lvl w:ilvl="7" w:tplc="9B98B1EC" w:tentative="1">
      <w:start w:val="1"/>
      <w:numFmt w:val="lowerLetter"/>
      <w:lvlText w:val="%8."/>
      <w:lvlJc w:val="left"/>
      <w:pPr>
        <w:ind w:left="5760" w:hanging="360"/>
      </w:pPr>
    </w:lvl>
    <w:lvl w:ilvl="8" w:tplc="2D6A93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0859D4">
      <w:start w:val="1"/>
      <w:numFmt w:val="bullet"/>
      <w:lvlText w:val=""/>
      <w:lvlJc w:val="left"/>
      <w:pPr>
        <w:ind w:left="720" w:hanging="360"/>
      </w:pPr>
      <w:rPr>
        <w:rFonts w:ascii="Symbol" w:hAnsi="Symbol" w:hint="default"/>
        <w:color w:val="auto"/>
        <w:sz w:val="24"/>
        <w:szCs w:val="24"/>
      </w:rPr>
    </w:lvl>
    <w:lvl w:ilvl="1" w:tplc="ADB81CC2" w:tentative="1">
      <w:start w:val="1"/>
      <w:numFmt w:val="bullet"/>
      <w:lvlText w:val="o"/>
      <w:lvlJc w:val="left"/>
      <w:pPr>
        <w:ind w:left="1440" w:hanging="360"/>
      </w:pPr>
      <w:rPr>
        <w:rFonts w:ascii="Courier New" w:hAnsi="Courier New" w:cs="Courier New" w:hint="default"/>
      </w:rPr>
    </w:lvl>
    <w:lvl w:ilvl="2" w:tplc="8D86DC68" w:tentative="1">
      <w:start w:val="1"/>
      <w:numFmt w:val="bullet"/>
      <w:lvlText w:val=""/>
      <w:lvlJc w:val="left"/>
      <w:pPr>
        <w:ind w:left="2160" w:hanging="360"/>
      </w:pPr>
      <w:rPr>
        <w:rFonts w:ascii="Wingdings" w:hAnsi="Wingdings" w:hint="default"/>
      </w:rPr>
    </w:lvl>
    <w:lvl w:ilvl="3" w:tplc="FC3C5074" w:tentative="1">
      <w:start w:val="1"/>
      <w:numFmt w:val="bullet"/>
      <w:lvlText w:val=""/>
      <w:lvlJc w:val="left"/>
      <w:pPr>
        <w:ind w:left="2880" w:hanging="360"/>
      </w:pPr>
      <w:rPr>
        <w:rFonts w:ascii="Symbol" w:hAnsi="Symbol" w:hint="default"/>
      </w:rPr>
    </w:lvl>
    <w:lvl w:ilvl="4" w:tplc="E20C7A28" w:tentative="1">
      <w:start w:val="1"/>
      <w:numFmt w:val="bullet"/>
      <w:lvlText w:val="o"/>
      <w:lvlJc w:val="left"/>
      <w:pPr>
        <w:ind w:left="3600" w:hanging="360"/>
      </w:pPr>
      <w:rPr>
        <w:rFonts w:ascii="Courier New" w:hAnsi="Courier New" w:cs="Courier New" w:hint="default"/>
      </w:rPr>
    </w:lvl>
    <w:lvl w:ilvl="5" w:tplc="EF66C6BE" w:tentative="1">
      <w:start w:val="1"/>
      <w:numFmt w:val="bullet"/>
      <w:lvlText w:val=""/>
      <w:lvlJc w:val="left"/>
      <w:pPr>
        <w:ind w:left="4320" w:hanging="360"/>
      </w:pPr>
      <w:rPr>
        <w:rFonts w:ascii="Wingdings" w:hAnsi="Wingdings" w:hint="default"/>
      </w:rPr>
    </w:lvl>
    <w:lvl w:ilvl="6" w:tplc="07FCC282" w:tentative="1">
      <w:start w:val="1"/>
      <w:numFmt w:val="bullet"/>
      <w:lvlText w:val=""/>
      <w:lvlJc w:val="left"/>
      <w:pPr>
        <w:ind w:left="5040" w:hanging="360"/>
      </w:pPr>
      <w:rPr>
        <w:rFonts w:ascii="Symbol" w:hAnsi="Symbol" w:hint="default"/>
      </w:rPr>
    </w:lvl>
    <w:lvl w:ilvl="7" w:tplc="A2CAD1BA" w:tentative="1">
      <w:start w:val="1"/>
      <w:numFmt w:val="bullet"/>
      <w:lvlText w:val="o"/>
      <w:lvlJc w:val="left"/>
      <w:pPr>
        <w:ind w:left="5760" w:hanging="360"/>
      </w:pPr>
      <w:rPr>
        <w:rFonts w:ascii="Courier New" w:hAnsi="Courier New" w:cs="Courier New" w:hint="default"/>
      </w:rPr>
    </w:lvl>
    <w:lvl w:ilvl="8" w:tplc="45B0CB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F02D44">
      <w:start w:val="1"/>
      <w:numFmt w:val="lowerRoman"/>
      <w:lvlText w:val="(%1)"/>
      <w:lvlJc w:val="left"/>
      <w:pPr>
        <w:ind w:left="1080" w:hanging="720"/>
      </w:pPr>
      <w:rPr>
        <w:rFonts w:hint="default"/>
      </w:rPr>
    </w:lvl>
    <w:lvl w:ilvl="1" w:tplc="E15E6F22" w:tentative="1">
      <w:start w:val="1"/>
      <w:numFmt w:val="lowerLetter"/>
      <w:lvlText w:val="%2."/>
      <w:lvlJc w:val="left"/>
      <w:pPr>
        <w:ind w:left="1440" w:hanging="360"/>
      </w:pPr>
    </w:lvl>
    <w:lvl w:ilvl="2" w:tplc="DB90BC3E" w:tentative="1">
      <w:start w:val="1"/>
      <w:numFmt w:val="lowerRoman"/>
      <w:lvlText w:val="%3."/>
      <w:lvlJc w:val="right"/>
      <w:pPr>
        <w:ind w:left="2160" w:hanging="180"/>
      </w:pPr>
    </w:lvl>
    <w:lvl w:ilvl="3" w:tplc="3AD206E0" w:tentative="1">
      <w:start w:val="1"/>
      <w:numFmt w:val="decimal"/>
      <w:lvlText w:val="%4."/>
      <w:lvlJc w:val="left"/>
      <w:pPr>
        <w:ind w:left="2880" w:hanging="360"/>
      </w:pPr>
    </w:lvl>
    <w:lvl w:ilvl="4" w:tplc="115AEDAE" w:tentative="1">
      <w:start w:val="1"/>
      <w:numFmt w:val="lowerLetter"/>
      <w:lvlText w:val="%5."/>
      <w:lvlJc w:val="left"/>
      <w:pPr>
        <w:ind w:left="3600" w:hanging="360"/>
      </w:pPr>
    </w:lvl>
    <w:lvl w:ilvl="5" w:tplc="BE4E5210" w:tentative="1">
      <w:start w:val="1"/>
      <w:numFmt w:val="lowerRoman"/>
      <w:lvlText w:val="%6."/>
      <w:lvlJc w:val="right"/>
      <w:pPr>
        <w:ind w:left="4320" w:hanging="180"/>
      </w:pPr>
    </w:lvl>
    <w:lvl w:ilvl="6" w:tplc="9E14EFEC" w:tentative="1">
      <w:start w:val="1"/>
      <w:numFmt w:val="decimal"/>
      <w:lvlText w:val="%7."/>
      <w:lvlJc w:val="left"/>
      <w:pPr>
        <w:ind w:left="5040" w:hanging="360"/>
      </w:pPr>
    </w:lvl>
    <w:lvl w:ilvl="7" w:tplc="E5D256FC" w:tentative="1">
      <w:start w:val="1"/>
      <w:numFmt w:val="lowerLetter"/>
      <w:lvlText w:val="%8."/>
      <w:lvlJc w:val="left"/>
      <w:pPr>
        <w:ind w:left="5760" w:hanging="360"/>
      </w:pPr>
    </w:lvl>
    <w:lvl w:ilvl="8" w:tplc="5BAC6CBC" w:tentative="1">
      <w:start w:val="1"/>
      <w:numFmt w:val="lowerRoman"/>
      <w:lvlText w:val="%9."/>
      <w:lvlJc w:val="right"/>
      <w:pPr>
        <w:ind w:left="6480" w:hanging="180"/>
      </w:pPr>
    </w:lvl>
  </w:abstractNum>
  <w:abstractNum w:abstractNumId="6" w15:restartNumberingAfterBreak="0">
    <w:nsid w:val="21DB07C3"/>
    <w:multiLevelType w:val="hybridMultilevel"/>
    <w:tmpl w:val="D85A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278EA14">
      <w:start w:val="1"/>
      <w:numFmt w:val="lowerRoman"/>
      <w:lvlText w:val="(%1)"/>
      <w:lvlJc w:val="left"/>
      <w:pPr>
        <w:ind w:left="1080" w:hanging="720"/>
      </w:pPr>
      <w:rPr>
        <w:rFonts w:hint="default"/>
      </w:rPr>
    </w:lvl>
    <w:lvl w:ilvl="1" w:tplc="C5D61BBC" w:tentative="1">
      <w:start w:val="1"/>
      <w:numFmt w:val="lowerLetter"/>
      <w:lvlText w:val="%2."/>
      <w:lvlJc w:val="left"/>
      <w:pPr>
        <w:ind w:left="1440" w:hanging="360"/>
      </w:pPr>
    </w:lvl>
    <w:lvl w:ilvl="2" w:tplc="4CD87F16" w:tentative="1">
      <w:start w:val="1"/>
      <w:numFmt w:val="lowerRoman"/>
      <w:lvlText w:val="%3."/>
      <w:lvlJc w:val="right"/>
      <w:pPr>
        <w:ind w:left="2160" w:hanging="180"/>
      </w:pPr>
    </w:lvl>
    <w:lvl w:ilvl="3" w:tplc="F5A42E40" w:tentative="1">
      <w:start w:val="1"/>
      <w:numFmt w:val="decimal"/>
      <w:lvlText w:val="%4."/>
      <w:lvlJc w:val="left"/>
      <w:pPr>
        <w:ind w:left="2880" w:hanging="360"/>
      </w:pPr>
    </w:lvl>
    <w:lvl w:ilvl="4" w:tplc="BBD43950" w:tentative="1">
      <w:start w:val="1"/>
      <w:numFmt w:val="lowerLetter"/>
      <w:lvlText w:val="%5."/>
      <w:lvlJc w:val="left"/>
      <w:pPr>
        <w:ind w:left="3600" w:hanging="360"/>
      </w:pPr>
    </w:lvl>
    <w:lvl w:ilvl="5" w:tplc="170C986C" w:tentative="1">
      <w:start w:val="1"/>
      <w:numFmt w:val="lowerRoman"/>
      <w:lvlText w:val="%6."/>
      <w:lvlJc w:val="right"/>
      <w:pPr>
        <w:ind w:left="4320" w:hanging="180"/>
      </w:pPr>
    </w:lvl>
    <w:lvl w:ilvl="6" w:tplc="0406BDA0" w:tentative="1">
      <w:start w:val="1"/>
      <w:numFmt w:val="decimal"/>
      <w:lvlText w:val="%7."/>
      <w:lvlJc w:val="left"/>
      <w:pPr>
        <w:ind w:left="5040" w:hanging="360"/>
      </w:pPr>
    </w:lvl>
    <w:lvl w:ilvl="7" w:tplc="54C22EF0" w:tentative="1">
      <w:start w:val="1"/>
      <w:numFmt w:val="lowerLetter"/>
      <w:lvlText w:val="%8."/>
      <w:lvlJc w:val="left"/>
      <w:pPr>
        <w:ind w:left="5760" w:hanging="360"/>
      </w:pPr>
    </w:lvl>
    <w:lvl w:ilvl="8" w:tplc="FA761B8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21CDE86">
      <w:start w:val="1"/>
      <w:numFmt w:val="lowerRoman"/>
      <w:lvlText w:val="(%1)"/>
      <w:lvlJc w:val="left"/>
      <w:pPr>
        <w:ind w:left="1080" w:hanging="720"/>
      </w:pPr>
      <w:rPr>
        <w:rFonts w:hint="default"/>
      </w:rPr>
    </w:lvl>
    <w:lvl w:ilvl="1" w:tplc="68D8BB40" w:tentative="1">
      <w:start w:val="1"/>
      <w:numFmt w:val="lowerLetter"/>
      <w:lvlText w:val="%2."/>
      <w:lvlJc w:val="left"/>
      <w:pPr>
        <w:ind w:left="1440" w:hanging="360"/>
      </w:pPr>
    </w:lvl>
    <w:lvl w:ilvl="2" w:tplc="26C6CD4C" w:tentative="1">
      <w:start w:val="1"/>
      <w:numFmt w:val="lowerRoman"/>
      <w:lvlText w:val="%3."/>
      <w:lvlJc w:val="right"/>
      <w:pPr>
        <w:ind w:left="2160" w:hanging="180"/>
      </w:pPr>
    </w:lvl>
    <w:lvl w:ilvl="3" w:tplc="8B40784A" w:tentative="1">
      <w:start w:val="1"/>
      <w:numFmt w:val="decimal"/>
      <w:lvlText w:val="%4."/>
      <w:lvlJc w:val="left"/>
      <w:pPr>
        <w:ind w:left="2880" w:hanging="360"/>
      </w:pPr>
    </w:lvl>
    <w:lvl w:ilvl="4" w:tplc="3ABA5C52" w:tentative="1">
      <w:start w:val="1"/>
      <w:numFmt w:val="lowerLetter"/>
      <w:lvlText w:val="%5."/>
      <w:lvlJc w:val="left"/>
      <w:pPr>
        <w:ind w:left="3600" w:hanging="360"/>
      </w:pPr>
    </w:lvl>
    <w:lvl w:ilvl="5" w:tplc="4C28077A" w:tentative="1">
      <w:start w:val="1"/>
      <w:numFmt w:val="lowerRoman"/>
      <w:lvlText w:val="%6."/>
      <w:lvlJc w:val="right"/>
      <w:pPr>
        <w:ind w:left="4320" w:hanging="180"/>
      </w:pPr>
    </w:lvl>
    <w:lvl w:ilvl="6" w:tplc="0C7A0526" w:tentative="1">
      <w:start w:val="1"/>
      <w:numFmt w:val="decimal"/>
      <w:lvlText w:val="%7."/>
      <w:lvlJc w:val="left"/>
      <w:pPr>
        <w:ind w:left="5040" w:hanging="360"/>
      </w:pPr>
    </w:lvl>
    <w:lvl w:ilvl="7" w:tplc="FEE67F44" w:tentative="1">
      <w:start w:val="1"/>
      <w:numFmt w:val="lowerLetter"/>
      <w:lvlText w:val="%8."/>
      <w:lvlJc w:val="left"/>
      <w:pPr>
        <w:ind w:left="5760" w:hanging="360"/>
      </w:pPr>
    </w:lvl>
    <w:lvl w:ilvl="8" w:tplc="E26CD95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0F27540">
      <w:start w:val="1"/>
      <w:numFmt w:val="lowerRoman"/>
      <w:lvlText w:val="(%1)"/>
      <w:lvlJc w:val="left"/>
      <w:pPr>
        <w:ind w:left="1080" w:hanging="720"/>
      </w:pPr>
      <w:rPr>
        <w:rFonts w:hint="default"/>
      </w:rPr>
    </w:lvl>
    <w:lvl w:ilvl="1" w:tplc="91247A14" w:tentative="1">
      <w:start w:val="1"/>
      <w:numFmt w:val="lowerLetter"/>
      <w:lvlText w:val="%2."/>
      <w:lvlJc w:val="left"/>
      <w:pPr>
        <w:ind w:left="1440" w:hanging="360"/>
      </w:pPr>
    </w:lvl>
    <w:lvl w:ilvl="2" w:tplc="D0BA24AC" w:tentative="1">
      <w:start w:val="1"/>
      <w:numFmt w:val="lowerRoman"/>
      <w:lvlText w:val="%3."/>
      <w:lvlJc w:val="right"/>
      <w:pPr>
        <w:ind w:left="2160" w:hanging="180"/>
      </w:pPr>
    </w:lvl>
    <w:lvl w:ilvl="3" w:tplc="3008FF68" w:tentative="1">
      <w:start w:val="1"/>
      <w:numFmt w:val="decimal"/>
      <w:lvlText w:val="%4."/>
      <w:lvlJc w:val="left"/>
      <w:pPr>
        <w:ind w:left="2880" w:hanging="360"/>
      </w:pPr>
    </w:lvl>
    <w:lvl w:ilvl="4" w:tplc="C4A2273C" w:tentative="1">
      <w:start w:val="1"/>
      <w:numFmt w:val="lowerLetter"/>
      <w:lvlText w:val="%5."/>
      <w:lvlJc w:val="left"/>
      <w:pPr>
        <w:ind w:left="3600" w:hanging="360"/>
      </w:pPr>
    </w:lvl>
    <w:lvl w:ilvl="5" w:tplc="92E49ACE" w:tentative="1">
      <w:start w:val="1"/>
      <w:numFmt w:val="lowerRoman"/>
      <w:lvlText w:val="%6."/>
      <w:lvlJc w:val="right"/>
      <w:pPr>
        <w:ind w:left="4320" w:hanging="180"/>
      </w:pPr>
    </w:lvl>
    <w:lvl w:ilvl="6" w:tplc="73421CAC" w:tentative="1">
      <w:start w:val="1"/>
      <w:numFmt w:val="decimal"/>
      <w:lvlText w:val="%7."/>
      <w:lvlJc w:val="left"/>
      <w:pPr>
        <w:ind w:left="5040" w:hanging="360"/>
      </w:pPr>
    </w:lvl>
    <w:lvl w:ilvl="7" w:tplc="4CCE099A" w:tentative="1">
      <w:start w:val="1"/>
      <w:numFmt w:val="lowerLetter"/>
      <w:lvlText w:val="%8."/>
      <w:lvlJc w:val="left"/>
      <w:pPr>
        <w:ind w:left="5760" w:hanging="360"/>
      </w:pPr>
    </w:lvl>
    <w:lvl w:ilvl="8" w:tplc="CACEBFA2" w:tentative="1">
      <w:start w:val="1"/>
      <w:numFmt w:val="lowerRoman"/>
      <w:lvlText w:val="%9."/>
      <w:lvlJc w:val="right"/>
      <w:pPr>
        <w:ind w:left="6480" w:hanging="180"/>
      </w:pPr>
    </w:lvl>
  </w:abstractNum>
  <w:abstractNum w:abstractNumId="10" w15:restartNumberingAfterBreak="0">
    <w:nsid w:val="38403A07"/>
    <w:multiLevelType w:val="hybridMultilevel"/>
    <w:tmpl w:val="DF98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78F68C">
      <w:start w:val="1"/>
      <w:numFmt w:val="lowerRoman"/>
      <w:lvlText w:val="(%1)"/>
      <w:lvlJc w:val="left"/>
      <w:pPr>
        <w:ind w:left="1080" w:hanging="720"/>
      </w:pPr>
      <w:rPr>
        <w:rFonts w:hint="default"/>
      </w:rPr>
    </w:lvl>
    <w:lvl w:ilvl="1" w:tplc="E62A9C08" w:tentative="1">
      <w:start w:val="1"/>
      <w:numFmt w:val="lowerLetter"/>
      <w:lvlText w:val="%2."/>
      <w:lvlJc w:val="left"/>
      <w:pPr>
        <w:ind w:left="1440" w:hanging="360"/>
      </w:pPr>
    </w:lvl>
    <w:lvl w:ilvl="2" w:tplc="892AA498" w:tentative="1">
      <w:start w:val="1"/>
      <w:numFmt w:val="lowerRoman"/>
      <w:lvlText w:val="%3."/>
      <w:lvlJc w:val="right"/>
      <w:pPr>
        <w:ind w:left="2160" w:hanging="180"/>
      </w:pPr>
    </w:lvl>
    <w:lvl w:ilvl="3" w:tplc="FC4CB59C" w:tentative="1">
      <w:start w:val="1"/>
      <w:numFmt w:val="decimal"/>
      <w:lvlText w:val="%4."/>
      <w:lvlJc w:val="left"/>
      <w:pPr>
        <w:ind w:left="2880" w:hanging="360"/>
      </w:pPr>
    </w:lvl>
    <w:lvl w:ilvl="4" w:tplc="AA004724" w:tentative="1">
      <w:start w:val="1"/>
      <w:numFmt w:val="lowerLetter"/>
      <w:lvlText w:val="%5."/>
      <w:lvlJc w:val="left"/>
      <w:pPr>
        <w:ind w:left="3600" w:hanging="360"/>
      </w:pPr>
    </w:lvl>
    <w:lvl w:ilvl="5" w:tplc="C4D84C08" w:tentative="1">
      <w:start w:val="1"/>
      <w:numFmt w:val="lowerRoman"/>
      <w:lvlText w:val="%6."/>
      <w:lvlJc w:val="right"/>
      <w:pPr>
        <w:ind w:left="4320" w:hanging="180"/>
      </w:pPr>
    </w:lvl>
    <w:lvl w:ilvl="6" w:tplc="5348463C" w:tentative="1">
      <w:start w:val="1"/>
      <w:numFmt w:val="decimal"/>
      <w:lvlText w:val="%7."/>
      <w:lvlJc w:val="left"/>
      <w:pPr>
        <w:ind w:left="5040" w:hanging="360"/>
      </w:pPr>
    </w:lvl>
    <w:lvl w:ilvl="7" w:tplc="FB9077F0" w:tentative="1">
      <w:start w:val="1"/>
      <w:numFmt w:val="lowerLetter"/>
      <w:lvlText w:val="%8."/>
      <w:lvlJc w:val="left"/>
      <w:pPr>
        <w:ind w:left="5760" w:hanging="360"/>
      </w:pPr>
    </w:lvl>
    <w:lvl w:ilvl="8" w:tplc="C99619B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1340032">
      <w:start w:val="1"/>
      <w:numFmt w:val="lowerRoman"/>
      <w:lvlText w:val="(%1)"/>
      <w:lvlJc w:val="left"/>
      <w:pPr>
        <w:ind w:left="1080" w:hanging="720"/>
      </w:pPr>
      <w:rPr>
        <w:rFonts w:hint="default"/>
      </w:rPr>
    </w:lvl>
    <w:lvl w:ilvl="1" w:tplc="EB3AA67C" w:tentative="1">
      <w:start w:val="1"/>
      <w:numFmt w:val="lowerLetter"/>
      <w:lvlText w:val="%2."/>
      <w:lvlJc w:val="left"/>
      <w:pPr>
        <w:ind w:left="1440" w:hanging="360"/>
      </w:pPr>
    </w:lvl>
    <w:lvl w:ilvl="2" w:tplc="7E5887BE" w:tentative="1">
      <w:start w:val="1"/>
      <w:numFmt w:val="lowerRoman"/>
      <w:lvlText w:val="%3."/>
      <w:lvlJc w:val="right"/>
      <w:pPr>
        <w:ind w:left="2160" w:hanging="180"/>
      </w:pPr>
    </w:lvl>
    <w:lvl w:ilvl="3" w:tplc="F260DAB0" w:tentative="1">
      <w:start w:val="1"/>
      <w:numFmt w:val="decimal"/>
      <w:lvlText w:val="%4."/>
      <w:lvlJc w:val="left"/>
      <w:pPr>
        <w:ind w:left="2880" w:hanging="360"/>
      </w:pPr>
    </w:lvl>
    <w:lvl w:ilvl="4" w:tplc="25E42866" w:tentative="1">
      <w:start w:val="1"/>
      <w:numFmt w:val="lowerLetter"/>
      <w:lvlText w:val="%5."/>
      <w:lvlJc w:val="left"/>
      <w:pPr>
        <w:ind w:left="3600" w:hanging="360"/>
      </w:pPr>
    </w:lvl>
    <w:lvl w:ilvl="5" w:tplc="4378D0CC" w:tentative="1">
      <w:start w:val="1"/>
      <w:numFmt w:val="lowerRoman"/>
      <w:lvlText w:val="%6."/>
      <w:lvlJc w:val="right"/>
      <w:pPr>
        <w:ind w:left="4320" w:hanging="180"/>
      </w:pPr>
    </w:lvl>
    <w:lvl w:ilvl="6" w:tplc="9FB468EC" w:tentative="1">
      <w:start w:val="1"/>
      <w:numFmt w:val="decimal"/>
      <w:lvlText w:val="%7."/>
      <w:lvlJc w:val="left"/>
      <w:pPr>
        <w:ind w:left="5040" w:hanging="360"/>
      </w:pPr>
    </w:lvl>
    <w:lvl w:ilvl="7" w:tplc="94A4FE98" w:tentative="1">
      <w:start w:val="1"/>
      <w:numFmt w:val="lowerLetter"/>
      <w:lvlText w:val="%8."/>
      <w:lvlJc w:val="left"/>
      <w:pPr>
        <w:ind w:left="5760" w:hanging="360"/>
      </w:pPr>
    </w:lvl>
    <w:lvl w:ilvl="8" w:tplc="B54CCCE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8412886">
    <w:abstractNumId w:val="13"/>
  </w:num>
  <w:num w:numId="2" w16cid:durableId="1599487223">
    <w:abstractNumId w:val="4"/>
  </w:num>
  <w:num w:numId="3" w16cid:durableId="515117461">
    <w:abstractNumId w:val="2"/>
  </w:num>
  <w:num w:numId="4" w16cid:durableId="1763795930">
    <w:abstractNumId w:val="8"/>
  </w:num>
  <w:num w:numId="5" w16cid:durableId="1717581235">
    <w:abstractNumId w:val="7"/>
  </w:num>
  <w:num w:numId="6" w16cid:durableId="969290446">
    <w:abstractNumId w:val="1"/>
  </w:num>
  <w:num w:numId="7" w16cid:durableId="557087143">
    <w:abstractNumId w:val="11"/>
  </w:num>
  <w:num w:numId="8" w16cid:durableId="1520005153">
    <w:abstractNumId w:val="5"/>
  </w:num>
  <w:num w:numId="9" w16cid:durableId="347870709">
    <w:abstractNumId w:val="9"/>
  </w:num>
  <w:num w:numId="10" w16cid:durableId="995767618">
    <w:abstractNumId w:val="3"/>
  </w:num>
  <w:num w:numId="11" w16cid:durableId="1765104510">
    <w:abstractNumId w:val="12"/>
  </w:num>
  <w:num w:numId="12" w16cid:durableId="696471098">
    <w:abstractNumId w:val="0"/>
  </w:num>
  <w:num w:numId="13" w16cid:durableId="1312446551">
    <w:abstractNumId w:val="13"/>
  </w:num>
  <w:num w:numId="14" w16cid:durableId="1187332531">
    <w:abstractNumId w:val="13"/>
  </w:num>
  <w:num w:numId="15" w16cid:durableId="1071539410">
    <w:abstractNumId w:val="6"/>
  </w:num>
  <w:num w:numId="16" w16cid:durableId="1105491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32B"/>
    <w:rsid w:val="00017438"/>
    <w:rsid w:val="000357C0"/>
    <w:rsid w:val="000E7E8B"/>
    <w:rsid w:val="001216F5"/>
    <w:rsid w:val="0013507B"/>
    <w:rsid w:val="001428E5"/>
    <w:rsid w:val="00146433"/>
    <w:rsid w:val="001C524E"/>
    <w:rsid w:val="001D6A50"/>
    <w:rsid w:val="002E7C82"/>
    <w:rsid w:val="00312FC2"/>
    <w:rsid w:val="00355E94"/>
    <w:rsid w:val="00360103"/>
    <w:rsid w:val="00387F65"/>
    <w:rsid w:val="003F6D27"/>
    <w:rsid w:val="00460841"/>
    <w:rsid w:val="004902CB"/>
    <w:rsid w:val="004E2C03"/>
    <w:rsid w:val="004F453C"/>
    <w:rsid w:val="00505DA3"/>
    <w:rsid w:val="005074CE"/>
    <w:rsid w:val="0051175B"/>
    <w:rsid w:val="00517D24"/>
    <w:rsid w:val="0052204C"/>
    <w:rsid w:val="005240EB"/>
    <w:rsid w:val="005456C2"/>
    <w:rsid w:val="00583E5C"/>
    <w:rsid w:val="00593C77"/>
    <w:rsid w:val="005A1AB2"/>
    <w:rsid w:val="005A7AD5"/>
    <w:rsid w:val="00655DA9"/>
    <w:rsid w:val="00685CCA"/>
    <w:rsid w:val="006A09D4"/>
    <w:rsid w:val="006B2FFA"/>
    <w:rsid w:val="006E2538"/>
    <w:rsid w:val="006E2B30"/>
    <w:rsid w:val="007009F0"/>
    <w:rsid w:val="00752AC0"/>
    <w:rsid w:val="007859F3"/>
    <w:rsid w:val="007E3807"/>
    <w:rsid w:val="00803773"/>
    <w:rsid w:val="008052B5"/>
    <w:rsid w:val="00841708"/>
    <w:rsid w:val="00844087"/>
    <w:rsid w:val="0085184E"/>
    <w:rsid w:val="008672C5"/>
    <w:rsid w:val="00895FBA"/>
    <w:rsid w:val="008D714C"/>
    <w:rsid w:val="008F2BB9"/>
    <w:rsid w:val="009A02CD"/>
    <w:rsid w:val="009C5926"/>
    <w:rsid w:val="009E2827"/>
    <w:rsid w:val="009E4700"/>
    <w:rsid w:val="009E6EAD"/>
    <w:rsid w:val="009E7564"/>
    <w:rsid w:val="00A07EE4"/>
    <w:rsid w:val="00A16BF5"/>
    <w:rsid w:val="00A30CE4"/>
    <w:rsid w:val="00A32C60"/>
    <w:rsid w:val="00A51ACB"/>
    <w:rsid w:val="00A5302F"/>
    <w:rsid w:val="00A57028"/>
    <w:rsid w:val="00A80D2D"/>
    <w:rsid w:val="00A848BD"/>
    <w:rsid w:val="00AA5EF7"/>
    <w:rsid w:val="00AF3ED1"/>
    <w:rsid w:val="00B70592"/>
    <w:rsid w:val="00B831BB"/>
    <w:rsid w:val="00BB0C93"/>
    <w:rsid w:val="00BB6A2E"/>
    <w:rsid w:val="00BD15C1"/>
    <w:rsid w:val="00BD5D08"/>
    <w:rsid w:val="00BD7638"/>
    <w:rsid w:val="00C27C97"/>
    <w:rsid w:val="00C304A7"/>
    <w:rsid w:val="00C46908"/>
    <w:rsid w:val="00C76210"/>
    <w:rsid w:val="00CA5BCA"/>
    <w:rsid w:val="00CB5E67"/>
    <w:rsid w:val="00D22C57"/>
    <w:rsid w:val="00D32F04"/>
    <w:rsid w:val="00D4222E"/>
    <w:rsid w:val="00D4614C"/>
    <w:rsid w:val="00D57BE2"/>
    <w:rsid w:val="00D600F5"/>
    <w:rsid w:val="00D84867"/>
    <w:rsid w:val="00DF67F7"/>
    <w:rsid w:val="00E021B1"/>
    <w:rsid w:val="00E16897"/>
    <w:rsid w:val="00E7432B"/>
    <w:rsid w:val="00E75856"/>
    <w:rsid w:val="00E87461"/>
    <w:rsid w:val="00E957A7"/>
    <w:rsid w:val="00EE57F8"/>
    <w:rsid w:val="00F403FF"/>
    <w:rsid w:val="00F74168"/>
    <w:rsid w:val="00F84260"/>
    <w:rsid w:val="00FB6093"/>
    <w:rsid w:val="00FC6F66"/>
    <w:rsid w:val="00FD2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BD2F8"/>
  <w15:docId w15:val="{F83B0102-99CC-401B-85CC-40659930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603C" w:rsidRDefault="00DF5DB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16BDC" w:rsidRDefault="00DF5DB3"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16BDC" w:rsidRDefault="00DF5DB3"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16BDC" w:rsidRDefault="00DF5DB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16BDC" w:rsidRDefault="00DF5DB3"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16BDC" w:rsidRDefault="00DF5DB3" w:rsidP="00AF0AC5">
          <w:pPr>
            <w:pStyle w:val="0B2FCB2C6D314CE59B805B4EB6683D10"/>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16BDC" w:rsidRDefault="00DF5DB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6BDC"/>
    <w:rsid w:val="00400298"/>
    <w:rsid w:val="00AF603C"/>
    <w:rsid w:val="00B16BDC"/>
    <w:rsid w:val="00DF5DB3"/>
    <w:rsid w:val="00E32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2024-05-14T04:45:00Z</dcterms:created>
  <dcterms:modified xsi:type="dcterms:W3CDTF">2024-05-14T04:45:00Z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