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B80C0" w14:textId="77777777" w:rsidR="00D2559D" w:rsidRPr="002C3EBF" w:rsidRDefault="00C746F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85B81FC" wp14:editId="585B81F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0240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85B80C1" w14:textId="77777777" w:rsidR="00D2559D" w:rsidRDefault="00C746F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5B80C2" w14:textId="77777777" w:rsidR="00D2559D" w:rsidRDefault="00C746F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5B80C3" w14:textId="77777777" w:rsidR="00D2559D" w:rsidRPr="002C3EBF" w:rsidRDefault="00C746F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23A16" w14:paraId="585B80C6" w14:textId="77777777" w:rsidTr="00923A16">
        <w:tc>
          <w:tcPr>
            <w:cnfStyle w:val="001000000000" w:firstRow="0" w:lastRow="0" w:firstColumn="1" w:lastColumn="0" w:oddVBand="0" w:evenVBand="0" w:oddHBand="0" w:evenHBand="0" w:firstRowFirstColumn="0" w:firstRowLastColumn="0" w:lastRowFirstColumn="0" w:lastRowLastColumn="0"/>
            <w:tcW w:w="3227" w:type="dxa"/>
          </w:tcPr>
          <w:p w14:paraId="585B80C4" w14:textId="77777777" w:rsidR="00D2559D" w:rsidRPr="00996FAF" w:rsidRDefault="00C746F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85B80C5" w14:textId="77777777" w:rsidR="00D2559D" w:rsidRPr="00996FAF" w:rsidRDefault="00C746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Goodhew Gardens</w:t>
            </w:r>
          </w:p>
        </w:tc>
      </w:tr>
      <w:tr w:rsidR="00923A16" w14:paraId="585B80C9" w14:textId="77777777" w:rsidTr="00923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5B80C7" w14:textId="77777777" w:rsidR="00CA37CB" w:rsidRPr="00996FAF" w:rsidRDefault="00C746F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85B80C8" w14:textId="77777777" w:rsidR="00CA37CB" w:rsidRPr="00996FAF" w:rsidRDefault="00C746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2 - 28 Alexander Avenue</w:t>
            </w:r>
            <w:r w:rsidRPr="00602258">
              <w:rPr>
                <w:rFonts w:ascii="Arial" w:hAnsi="Arial" w:cs="Arial"/>
                <w:color w:val="auto"/>
              </w:rPr>
              <w:t xml:space="preserve"> TAREN POINT NSW 2229</w:t>
            </w:r>
          </w:p>
        </w:tc>
      </w:tr>
      <w:tr w:rsidR="00923A16" w14:paraId="585B80CC" w14:textId="77777777" w:rsidTr="00923A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5B80CA" w14:textId="77777777" w:rsidR="00CA37CB" w:rsidRPr="00996FAF" w:rsidRDefault="00C746F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5B80CB" w14:textId="77777777" w:rsidR="00CA37CB" w:rsidRPr="00996FAF" w:rsidRDefault="00C746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0697</w:t>
            </w:r>
          </w:p>
        </w:tc>
      </w:tr>
      <w:tr w:rsidR="00923A16" w14:paraId="585B80CF" w14:textId="77777777" w:rsidTr="00923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5B80CD" w14:textId="77777777" w:rsidR="00D2559D" w:rsidRPr="00996FAF" w:rsidRDefault="00C746F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85B80CE" w14:textId="77777777" w:rsidR="00D2559D" w:rsidRPr="00996FAF" w:rsidRDefault="00C746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Community Services</w:t>
            </w:r>
          </w:p>
        </w:tc>
      </w:tr>
      <w:tr w:rsidR="00923A16" w14:paraId="585B80D2" w14:textId="77777777" w:rsidTr="00923A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5B80D0" w14:textId="77777777" w:rsidR="00D2559D" w:rsidRPr="00996FAF" w:rsidRDefault="00C746F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5B80D1" w14:textId="77777777" w:rsidR="00D2559D" w:rsidRPr="00996FAF" w:rsidRDefault="00C746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23A16" w14:paraId="585B80D5" w14:textId="77777777" w:rsidTr="00923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5B80D3" w14:textId="77777777" w:rsidR="00D2559D" w:rsidRPr="00996FAF" w:rsidRDefault="00C746F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5B80D4" w14:textId="77777777" w:rsidR="00D2559D" w:rsidRPr="00996FAF" w:rsidRDefault="00C746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September 2023</w:t>
            </w:r>
          </w:p>
        </w:tc>
      </w:tr>
      <w:tr w:rsidR="00923A16" w14:paraId="585B80D8" w14:textId="77777777" w:rsidTr="00923A1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5B80D6" w14:textId="77777777" w:rsidR="00D2559D" w:rsidRPr="00996FAF" w:rsidRDefault="00C746F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85B80D7" w14:textId="49AA7E50" w:rsidR="00D2559D" w:rsidRPr="00996FAF" w:rsidRDefault="00892F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92F2C">
              <w:rPr>
                <w:rFonts w:ascii="Arial" w:hAnsi="Arial" w:cs="Arial"/>
                <w:color w:val="auto"/>
              </w:rPr>
              <w:t>12 October 2023</w:t>
            </w:r>
          </w:p>
        </w:tc>
      </w:tr>
    </w:tbl>
    <w:bookmarkEnd w:id="0"/>
    <w:p w14:paraId="585B80D9" w14:textId="77777777" w:rsidR="00FA0A5B" w:rsidRPr="00996FAF" w:rsidRDefault="00C746F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5B80DA" w14:textId="77777777" w:rsidR="000078F8" w:rsidRPr="00996FAF" w:rsidRDefault="00C746F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5B80DB" w14:textId="7EF3955F" w:rsidR="000078F8" w:rsidRPr="00996FAF" w:rsidRDefault="00C746FB" w:rsidP="0036130C">
      <w:pPr>
        <w:pStyle w:val="NormalArial"/>
      </w:pPr>
      <w:r w:rsidRPr="00996FAF">
        <w:t xml:space="preserve">This performance report for </w:t>
      </w:r>
      <w:r w:rsidRPr="00996FAF">
        <w:rPr>
          <w:color w:val="auto"/>
        </w:rPr>
        <w:t>Goodhew Gardens (</w:t>
      </w:r>
      <w:r w:rsidRPr="00996FAF">
        <w:rPr>
          <w:b/>
          <w:color w:val="auto"/>
        </w:rPr>
        <w:t>the service</w:t>
      </w:r>
      <w:r w:rsidRPr="00996FAF">
        <w:rPr>
          <w:color w:val="auto"/>
        </w:rPr>
        <w:t xml:space="preserve">) has been prepared </w:t>
      </w:r>
      <w:r w:rsidRPr="00974D61">
        <w:rPr>
          <w:color w:val="auto"/>
        </w:rPr>
        <w:t xml:space="preserve">by </w:t>
      </w:r>
      <w:r w:rsidR="00892F2C" w:rsidRPr="00974D61">
        <w:rPr>
          <w:color w:val="auto"/>
        </w:rPr>
        <w:t xml:space="preserve">Gill Jones, </w:t>
      </w:r>
      <w:r w:rsidRPr="00996FAF">
        <w:t>delegate of the Aged Care Quality and Safety Commissioner (Commissioner)</w:t>
      </w:r>
      <w:r>
        <w:rPr>
          <w:rStyle w:val="FootnoteReference"/>
        </w:rPr>
        <w:footnoteReference w:id="1"/>
      </w:r>
      <w:r w:rsidRPr="00996FAF">
        <w:t xml:space="preserve">. </w:t>
      </w:r>
    </w:p>
    <w:p w14:paraId="585B80DC" w14:textId="77777777" w:rsidR="000078F8" w:rsidRPr="00996FAF" w:rsidRDefault="00C746F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5B80DD" w14:textId="77777777" w:rsidR="000078F8" w:rsidRPr="00996FAF" w:rsidRDefault="00C746FB" w:rsidP="0036130C">
      <w:pPr>
        <w:pStyle w:val="NormalArial"/>
      </w:pPr>
      <w:r w:rsidRPr="00996FAF">
        <w:t>The report also specifies any areas in which improvements must be made to ensure the Quality Standards are complied with.</w:t>
      </w:r>
    </w:p>
    <w:p w14:paraId="585B80DE" w14:textId="77777777" w:rsidR="00DF37F2" w:rsidRPr="00996FAF" w:rsidRDefault="00C746FB" w:rsidP="00712752">
      <w:pPr>
        <w:pStyle w:val="Heading1"/>
        <w:spacing w:before="240" w:after="240" w:line="22" w:lineRule="atLeast"/>
        <w:rPr>
          <w:rFonts w:ascii="Arial" w:hAnsi="Arial" w:cs="Arial"/>
        </w:rPr>
      </w:pPr>
      <w:r w:rsidRPr="00996FAF">
        <w:rPr>
          <w:rFonts w:ascii="Arial" w:hAnsi="Arial" w:cs="Arial"/>
        </w:rPr>
        <w:t>Material relied on</w:t>
      </w:r>
    </w:p>
    <w:p w14:paraId="585B80DF" w14:textId="77777777" w:rsidR="00DF37F2" w:rsidRPr="00996FAF" w:rsidRDefault="00C746FB" w:rsidP="0036130C">
      <w:pPr>
        <w:pStyle w:val="NormalArial"/>
      </w:pPr>
      <w:r w:rsidRPr="00996FAF">
        <w:t>The following information has been considered in preparing the performance report:</w:t>
      </w:r>
    </w:p>
    <w:p w14:paraId="585B80E0" w14:textId="43DFEAE6" w:rsidR="00DF37F2" w:rsidRPr="00996FAF" w:rsidRDefault="00C746F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w:t>
      </w:r>
      <w:r w:rsidRPr="00D417D9">
        <w:rPr>
          <w:rFonts w:ascii="Arial" w:hAnsi="Arial" w:cs="Arial"/>
          <w:color w:val="auto"/>
        </w:rPr>
        <w:t>Contact - Site report was informed by a site assessment, observations at the service, review of documents and interviews with staff, consumers/representatives and others</w:t>
      </w:r>
      <w:r w:rsidR="00892F2C" w:rsidRPr="00D417D9">
        <w:rPr>
          <w:rFonts w:ascii="Arial" w:hAnsi="Arial" w:cs="Arial"/>
          <w:color w:val="auto"/>
        </w:rPr>
        <w:t>.</w:t>
      </w:r>
    </w:p>
    <w:p w14:paraId="585B80E4" w14:textId="2851C974" w:rsidR="003B1763" w:rsidRPr="00712752" w:rsidRDefault="00C746F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85B80E5" w14:textId="77777777" w:rsidR="00FC045E" w:rsidRPr="00996FAF" w:rsidRDefault="00C746F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23A16" w14:paraId="585B80EE" w14:textId="77777777" w:rsidTr="00923A1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5B80EC" w14:textId="77777777" w:rsidR="00FC045E" w:rsidRPr="00996FAF" w:rsidRDefault="00C746FB"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585B80ED" w14:textId="2CDDA10B" w:rsidR="00FC045E" w:rsidRPr="00996FAF" w:rsidRDefault="002A31E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D61">
                  <w:rPr>
                    <w:rFonts w:ascii="Arial" w:hAnsi="Arial" w:cs="Arial"/>
                  </w:rPr>
                  <w:t>Not applicable as not all requirements have been assessed</w:t>
                </w:r>
              </w:sdtContent>
            </w:sdt>
            <w:r w:rsidR="00C746FB" w:rsidRPr="00996FAF">
              <w:rPr>
                <w:rFonts w:ascii="Arial" w:hAnsi="Arial" w:cs="Arial"/>
              </w:rPr>
              <w:t xml:space="preserve"> </w:t>
            </w:r>
          </w:p>
        </w:tc>
      </w:tr>
      <w:tr w:rsidR="00923A16" w14:paraId="585B80FD" w14:textId="77777777" w:rsidTr="00923A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5B80FB" w14:textId="77777777" w:rsidR="00FC045E" w:rsidRPr="00996FAF" w:rsidRDefault="00C746F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974D61">
              <w:rPr>
                <w:rFonts w:ascii="Arial" w:hAnsi="Arial" w:cs="Arial"/>
                <w:b/>
                <w:bCs/>
              </w:rPr>
              <w:t>Organisational governance</w:t>
            </w:r>
          </w:p>
        </w:tc>
        <w:tc>
          <w:tcPr>
            <w:tcW w:w="1583" w:type="pct"/>
            <w:shd w:val="clear" w:color="auto" w:fill="auto"/>
          </w:tcPr>
          <w:p w14:paraId="585B80FC" w14:textId="0C45D0C9" w:rsidR="00FC045E" w:rsidRPr="00996FAF" w:rsidRDefault="002A31E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D61">
                  <w:rPr>
                    <w:rFonts w:ascii="Arial" w:hAnsi="Arial" w:cs="Arial"/>
                    <w:b/>
                  </w:rPr>
                  <w:t>Not applicable as not all requirements have been assessed</w:t>
                </w:r>
              </w:sdtContent>
            </w:sdt>
            <w:r w:rsidR="00C746FB" w:rsidRPr="00996FAF">
              <w:rPr>
                <w:rFonts w:ascii="Arial" w:hAnsi="Arial" w:cs="Arial"/>
                <w:b/>
              </w:rPr>
              <w:t xml:space="preserve"> </w:t>
            </w:r>
          </w:p>
        </w:tc>
      </w:tr>
    </w:tbl>
    <w:p w14:paraId="585B80FE" w14:textId="77777777" w:rsidR="00FC045E" w:rsidRPr="00996FAF" w:rsidRDefault="00C746F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A3227F" w14:textId="77777777" w:rsidR="00974D61" w:rsidRDefault="00974D61">
      <w:pPr>
        <w:spacing w:after="160" w:line="259" w:lineRule="auto"/>
        <w:rPr>
          <w:rFonts w:ascii="Arial" w:eastAsiaTheme="majorEastAsia" w:hAnsi="Arial" w:cs="Arial"/>
          <w:b/>
          <w:bCs/>
          <w:sz w:val="30"/>
          <w:szCs w:val="28"/>
        </w:rPr>
      </w:pPr>
      <w:r>
        <w:rPr>
          <w:rFonts w:ascii="Arial" w:hAnsi="Arial" w:cs="Arial"/>
        </w:rPr>
        <w:br w:type="page"/>
      </w:r>
    </w:p>
    <w:p w14:paraId="585B8145" w14:textId="77777777" w:rsidR="00FC045E" w:rsidRPr="00996FAF" w:rsidRDefault="00C746F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23A16" w14:paraId="585B8148" w14:textId="77777777" w:rsidTr="002A3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85B8146" w14:textId="77777777" w:rsidR="00FC045E" w:rsidRPr="00996FAF" w:rsidRDefault="00C746F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77" w:type="dxa"/>
          </w:tcPr>
          <w:p w14:paraId="585B8147" w14:textId="77777777" w:rsidR="00FC045E" w:rsidRPr="00996FAF" w:rsidRDefault="002A31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3A16" w14:paraId="585B8153" w14:textId="77777777" w:rsidTr="002A31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B8150" w14:textId="77777777" w:rsidR="00FC045E" w:rsidRPr="00996FAF" w:rsidRDefault="00C746FB" w:rsidP="00B31E03">
            <w:pPr>
              <w:spacing w:line="22" w:lineRule="atLeast"/>
              <w:rPr>
                <w:rFonts w:ascii="Arial" w:hAnsi="Arial" w:cs="Arial"/>
                <w:color w:val="auto"/>
              </w:rPr>
            </w:pPr>
            <w:r w:rsidRPr="00996FAF">
              <w:rPr>
                <w:rFonts w:ascii="Arial" w:hAnsi="Arial" w:cs="Arial"/>
                <w:color w:val="auto"/>
              </w:rPr>
              <w:t>Requirement 3(3)(b)</w:t>
            </w:r>
          </w:p>
        </w:tc>
        <w:tc>
          <w:tcPr>
            <w:tcW w:w="6496" w:type="dxa"/>
            <w:shd w:val="clear" w:color="auto" w:fill="auto"/>
            <w:vAlign w:val="top"/>
          </w:tcPr>
          <w:p w14:paraId="585B8151" w14:textId="77777777" w:rsidR="00FC045E" w:rsidRPr="00996FAF" w:rsidRDefault="00C746F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vAlign w:val="top"/>
          </w:tcPr>
          <w:p w14:paraId="585B8152" w14:textId="2D672C88" w:rsidR="00FC045E" w:rsidRPr="00996FAF" w:rsidRDefault="002A31E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A6D7D">
                  <w:rPr>
                    <w:rFonts w:ascii="Arial" w:hAnsi="Arial" w:cs="Arial"/>
                    <w:color w:val="auto"/>
                  </w:rPr>
                  <w:t>Compliant</w:t>
                </w:r>
              </w:sdtContent>
            </w:sdt>
            <w:r w:rsidR="00C746FB" w:rsidRPr="00996FAF">
              <w:rPr>
                <w:rFonts w:ascii="Arial" w:hAnsi="Arial" w:cs="Arial"/>
                <w:color w:val="0000FF"/>
              </w:rPr>
              <w:t xml:space="preserve"> </w:t>
            </w:r>
          </w:p>
        </w:tc>
      </w:tr>
    </w:tbl>
    <w:p w14:paraId="585B816A" w14:textId="77777777" w:rsidR="00D87E7C" w:rsidRDefault="00C746FB" w:rsidP="00D87E7C">
      <w:pPr>
        <w:pStyle w:val="Heading20"/>
      </w:pPr>
      <w:r w:rsidRPr="00996FAF">
        <w:t>Findings</w:t>
      </w:r>
    </w:p>
    <w:p w14:paraId="025F00C1" w14:textId="5FA1C505" w:rsidR="00F20D11" w:rsidRDefault="00F20D11" w:rsidP="002A31E7">
      <w:pPr>
        <w:rPr>
          <w:rFonts w:ascii="Arial" w:eastAsia="Times New Roman" w:hAnsi="Arial" w:cs="Arial"/>
          <w:color w:val="000000"/>
          <w:lang w:eastAsia="en-AU"/>
        </w:rPr>
      </w:pPr>
      <w:r w:rsidRPr="00F20D11">
        <w:rPr>
          <w:rFonts w:ascii="Arial" w:eastAsia="Times New Roman" w:hAnsi="Arial" w:cs="Arial"/>
          <w:color w:val="000000"/>
          <w:lang w:eastAsia="en-AU"/>
        </w:rPr>
        <w:t xml:space="preserve">This Requirement was found non-compliant following a Site Audit on 24 April 2023 to 28 April 2023. The organisation was able </w:t>
      </w:r>
      <w:r w:rsidR="000D2EDF">
        <w:rPr>
          <w:rFonts w:ascii="Arial" w:eastAsia="Times New Roman" w:hAnsi="Arial" w:cs="Arial"/>
          <w:color w:val="000000"/>
          <w:lang w:eastAsia="en-AU"/>
        </w:rPr>
        <w:t xml:space="preserve">unable to </w:t>
      </w:r>
      <w:r w:rsidRPr="00F20D11">
        <w:rPr>
          <w:rFonts w:ascii="Arial" w:eastAsia="Times New Roman" w:hAnsi="Arial" w:cs="Arial"/>
          <w:color w:val="000000"/>
          <w:lang w:eastAsia="en-AU"/>
        </w:rPr>
        <w:t>demonstrate effective medication management which impacted on the consumer’s care and wellbeing.</w:t>
      </w:r>
      <w:r w:rsidR="000D2EDF">
        <w:rPr>
          <w:rFonts w:ascii="Arial" w:eastAsia="Times New Roman" w:hAnsi="Arial" w:cs="Arial"/>
          <w:color w:val="000000"/>
          <w:lang w:eastAsia="en-AU"/>
        </w:rPr>
        <w:t xml:space="preserve"> The organisation has undertaken a range of improvement activities including staff education,</w:t>
      </w:r>
      <w:r w:rsidR="00A124F2">
        <w:rPr>
          <w:rFonts w:ascii="Arial" w:eastAsia="Times New Roman" w:hAnsi="Arial" w:cs="Arial"/>
          <w:color w:val="000000"/>
          <w:lang w:eastAsia="en-AU"/>
        </w:rPr>
        <w:t xml:space="preserve"> made changes to the supply of medications and have transitioned to a new pharmacy provider.</w:t>
      </w:r>
      <w:r w:rsidR="000B4C4D">
        <w:rPr>
          <w:rFonts w:ascii="Arial" w:eastAsia="Times New Roman" w:hAnsi="Arial" w:cs="Arial"/>
          <w:color w:val="000000"/>
          <w:lang w:eastAsia="en-AU"/>
        </w:rPr>
        <w:t xml:space="preserve"> These changes have been effective.</w:t>
      </w:r>
    </w:p>
    <w:p w14:paraId="6F786096" w14:textId="334316D9" w:rsidR="0024266D" w:rsidRPr="0024266D" w:rsidRDefault="0024266D" w:rsidP="002A31E7">
      <w:pPr>
        <w:rPr>
          <w:rFonts w:ascii="Arial" w:eastAsia="Times New Roman" w:hAnsi="Arial" w:cs="Arial"/>
        </w:rPr>
      </w:pPr>
      <w:r>
        <w:rPr>
          <w:rFonts w:ascii="Arial" w:eastAsia="Times New Roman" w:hAnsi="Arial" w:cs="Arial"/>
          <w:color w:val="000000"/>
          <w:lang w:eastAsia="en-AU"/>
        </w:rPr>
        <w:t>T</w:t>
      </w:r>
      <w:r w:rsidRPr="0024266D">
        <w:rPr>
          <w:rFonts w:ascii="Arial" w:eastAsia="Times New Roman" w:hAnsi="Arial" w:cs="Arial"/>
          <w:color w:val="000000"/>
          <w:lang w:eastAsia="en-AU"/>
        </w:rPr>
        <w:t>he service was able to demonstrate how they are effectively managing high-impact and high-prevalent risks associated with the care of each consumer.</w:t>
      </w:r>
      <w:r w:rsidR="00654B04" w:rsidRPr="00654B04">
        <w:rPr>
          <w:rFonts w:ascii="Arial" w:eastAsia="Calibri" w:hAnsi="Arial" w:cs="Arial"/>
          <w:color w:val="000000"/>
        </w:rPr>
        <w:t xml:space="preserve"> </w:t>
      </w:r>
      <w:r w:rsidR="00914CC7" w:rsidRPr="00914CC7">
        <w:rPr>
          <w:rFonts w:ascii="Arial" w:eastAsia="Times New Roman" w:hAnsi="Arial" w:cs="Arial"/>
        </w:rPr>
        <w:t>Consumers and representatives gave positive feedback about how their high-risk clinical care needs are managed. Observations and documentation showed these risks are being managed. The service has developed and maintains a high-impact and high-prevalence risk register. It contains information on consumers and their risks. It is regularly reviewed and updated.</w:t>
      </w:r>
      <w:r w:rsidR="00914CC7">
        <w:rPr>
          <w:rFonts w:ascii="Arial" w:eastAsia="Times New Roman" w:hAnsi="Arial" w:cs="Arial"/>
        </w:rPr>
        <w:t xml:space="preserve"> </w:t>
      </w:r>
      <w:r w:rsidR="00654B04" w:rsidRPr="00654B04">
        <w:rPr>
          <w:rFonts w:ascii="Arial" w:eastAsia="Times New Roman" w:hAnsi="Arial" w:cs="Arial"/>
          <w:color w:val="000000"/>
          <w:lang w:eastAsia="en-AU"/>
        </w:rPr>
        <w:t>Staff demonstrated knowledge of pain assessment and management, pressure injury prevention and treatment, strategies to minimise risk of falls, and medication management.</w:t>
      </w:r>
      <w:r w:rsidR="00AB1A90">
        <w:rPr>
          <w:rFonts w:ascii="Arial" w:eastAsia="Times New Roman" w:hAnsi="Arial" w:cs="Arial"/>
          <w:color w:val="000000"/>
          <w:lang w:eastAsia="en-AU"/>
        </w:rPr>
        <w:t xml:space="preserve"> </w:t>
      </w:r>
      <w:r w:rsidR="00654B04" w:rsidRPr="00654B04">
        <w:rPr>
          <w:rFonts w:ascii="Arial" w:eastAsia="Calibri" w:hAnsi="Arial" w:cs="Arial"/>
          <w:color w:val="000000"/>
        </w:rPr>
        <w:t xml:space="preserve">The </w:t>
      </w:r>
      <w:r w:rsidR="00654B04" w:rsidRPr="00654B04">
        <w:rPr>
          <w:rFonts w:ascii="Arial" w:eastAsia="Times New Roman" w:hAnsi="Arial" w:cs="Arial"/>
          <w:color w:val="000000"/>
          <w:lang w:eastAsia="en-AU"/>
        </w:rPr>
        <w:t>service has policies, procedures and clinical protocols that guide the management of high-impact and high-prevalence risks associated with the care of consumers.</w:t>
      </w:r>
    </w:p>
    <w:p w14:paraId="66F3DED2" w14:textId="77777777" w:rsidR="00BD4C4E" w:rsidRDefault="00F03A68" w:rsidP="002A31E7">
      <w:pPr>
        <w:rPr>
          <w:rFonts w:ascii="Arial" w:eastAsia="Times New Roman" w:hAnsi="Arial" w:cs="Arial"/>
          <w:color w:val="000000"/>
          <w:lang w:eastAsia="en-AU"/>
        </w:rPr>
      </w:pPr>
      <w:r>
        <w:rPr>
          <w:rFonts w:ascii="Arial" w:eastAsia="Times New Roman" w:hAnsi="Arial" w:cs="Arial"/>
          <w:color w:val="000000"/>
          <w:lang w:eastAsia="en-AU"/>
        </w:rPr>
        <w:t xml:space="preserve">The provider did not provide </w:t>
      </w:r>
      <w:r w:rsidR="00E364B4">
        <w:rPr>
          <w:rFonts w:ascii="Arial" w:eastAsia="Times New Roman" w:hAnsi="Arial" w:cs="Arial"/>
          <w:color w:val="000000"/>
          <w:lang w:eastAsia="en-AU"/>
        </w:rPr>
        <w:t xml:space="preserve">a response to </w:t>
      </w:r>
      <w:r w:rsidR="005A3529">
        <w:rPr>
          <w:rFonts w:ascii="Arial" w:eastAsia="Times New Roman" w:hAnsi="Arial" w:cs="Arial"/>
          <w:color w:val="000000"/>
          <w:lang w:eastAsia="en-AU"/>
        </w:rPr>
        <w:t>the Assessment Team</w:t>
      </w:r>
      <w:r w:rsidR="00E364B4">
        <w:rPr>
          <w:rFonts w:ascii="Arial" w:eastAsia="Times New Roman" w:hAnsi="Arial" w:cs="Arial"/>
          <w:color w:val="000000"/>
          <w:lang w:eastAsia="en-AU"/>
        </w:rPr>
        <w:t>’</w:t>
      </w:r>
      <w:r w:rsidR="005A3529">
        <w:rPr>
          <w:rFonts w:ascii="Arial" w:eastAsia="Times New Roman" w:hAnsi="Arial" w:cs="Arial"/>
          <w:color w:val="000000"/>
          <w:lang w:eastAsia="en-AU"/>
        </w:rPr>
        <w:t xml:space="preserve">s report. </w:t>
      </w:r>
    </w:p>
    <w:p w14:paraId="7623FF77" w14:textId="13070106" w:rsidR="000B4C4D" w:rsidRPr="00F20D11" w:rsidRDefault="005A3529" w:rsidP="002A31E7">
      <w:pPr>
        <w:rPr>
          <w:rFonts w:ascii="Arial" w:eastAsia="Times New Roman" w:hAnsi="Arial" w:cs="Arial"/>
          <w:color w:val="000000"/>
          <w:lang w:eastAsia="en-AU"/>
        </w:rPr>
      </w:pPr>
      <w:r>
        <w:rPr>
          <w:rFonts w:ascii="Arial" w:eastAsia="Times New Roman" w:hAnsi="Arial" w:cs="Arial"/>
          <w:color w:val="000000"/>
          <w:lang w:eastAsia="en-AU"/>
        </w:rPr>
        <w:t xml:space="preserve">Having considered the </w:t>
      </w:r>
      <w:r w:rsidR="00E952A7">
        <w:rPr>
          <w:rFonts w:ascii="Arial" w:eastAsia="Times New Roman" w:hAnsi="Arial" w:cs="Arial"/>
          <w:color w:val="000000"/>
          <w:lang w:eastAsia="en-AU"/>
        </w:rPr>
        <w:t>information in the Assessment</w:t>
      </w:r>
      <w:r w:rsidR="00E364B4">
        <w:rPr>
          <w:rFonts w:ascii="Arial" w:eastAsia="Times New Roman" w:hAnsi="Arial" w:cs="Arial"/>
          <w:color w:val="000000"/>
          <w:lang w:eastAsia="en-AU"/>
        </w:rPr>
        <w:t xml:space="preserve"> Team’s report I find </w:t>
      </w:r>
      <w:r w:rsidR="00E952A7" w:rsidRPr="00996FAF">
        <w:rPr>
          <w:rFonts w:ascii="Arial" w:hAnsi="Arial" w:cs="Arial"/>
          <w:color w:val="auto"/>
        </w:rPr>
        <w:t>Requirement 3(3)(b)</w:t>
      </w:r>
      <w:r w:rsidR="00E952A7">
        <w:rPr>
          <w:rFonts w:ascii="Arial" w:hAnsi="Arial" w:cs="Arial"/>
          <w:color w:val="auto"/>
        </w:rPr>
        <w:t xml:space="preserve"> </w:t>
      </w:r>
      <w:r w:rsidR="00BD4C4E">
        <w:rPr>
          <w:rFonts w:ascii="Arial" w:hAnsi="Arial" w:cs="Arial"/>
          <w:color w:val="auto"/>
        </w:rPr>
        <w:t>c</w:t>
      </w:r>
      <w:r w:rsidR="00E952A7">
        <w:rPr>
          <w:rFonts w:ascii="Arial" w:hAnsi="Arial" w:cs="Arial"/>
          <w:color w:val="auto"/>
        </w:rPr>
        <w:t>ompliant.</w:t>
      </w:r>
    </w:p>
    <w:p w14:paraId="585B816B" w14:textId="41578ED4" w:rsidR="002B0C90" w:rsidRPr="00262C0B" w:rsidRDefault="00C746FB" w:rsidP="0036130C">
      <w:pPr>
        <w:pStyle w:val="NormalArial"/>
      </w:pPr>
      <w:r>
        <w:br w:type="page"/>
      </w:r>
    </w:p>
    <w:p w14:paraId="585B81D5" w14:textId="77777777" w:rsidR="00FC045E" w:rsidRPr="00996FAF" w:rsidRDefault="00C746F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984"/>
      </w:tblGrid>
      <w:tr w:rsidR="00923A16" w14:paraId="585B81D8" w14:textId="77777777" w:rsidTr="002A3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85B81D6" w14:textId="77777777" w:rsidR="00FC045E" w:rsidRPr="00996FAF" w:rsidRDefault="00C746F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585B81D7" w14:textId="77777777" w:rsidR="00FC045E" w:rsidRPr="00996FAF" w:rsidRDefault="002A31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3A16" w14:paraId="585B81F2" w14:textId="77777777" w:rsidTr="002A31E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5B81EB" w14:textId="77777777" w:rsidR="00FC045E" w:rsidRPr="00996FAF" w:rsidRDefault="00C746FB" w:rsidP="003574D0">
            <w:pPr>
              <w:spacing w:line="22" w:lineRule="atLeast"/>
              <w:rPr>
                <w:rFonts w:ascii="Arial" w:hAnsi="Arial" w:cs="Arial"/>
                <w:color w:val="auto"/>
              </w:rPr>
            </w:pPr>
            <w:r w:rsidRPr="00996FAF">
              <w:rPr>
                <w:rFonts w:ascii="Arial" w:hAnsi="Arial" w:cs="Arial"/>
                <w:color w:val="auto"/>
              </w:rPr>
              <w:t>Requirement 8(3)(d)</w:t>
            </w:r>
          </w:p>
        </w:tc>
        <w:tc>
          <w:tcPr>
            <w:tcW w:w="6546" w:type="dxa"/>
            <w:shd w:val="clear" w:color="auto" w:fill="auto"/>
            <w:vAlign w:val="top"/>
          </w:tcPr>
          <w:p w14:paraId="585B81EC" w14:textId="77777777" w:rsidR="00FC045E" w:rsidRPr="00996FAF" w:rsidRDefault="00C746F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85B81ED" w14:textId="77777777" w:rsidR="00FC045E" w:rsidRPr="00996FAF" w:rsidRDefault="00C746F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85B81EE" w14:textId="77777777" w:rsidR="00FC045E" w:rsidRPr="00996FAF" w:rsidRDefault="00C746F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85B81EF" w14:textId="77777777" w:rsidR="00FC045E" w:rsidRPr="00996FAF" w:rsidRDefault="00C746F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85B81F0" w14:textId="77777777" w:rsidR="00FC045E" w:rsidRPr="00996FAF" w:rsidRDefault="00C746F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585B81F1" w14:textId="0A935B9F" w:rsidR="00FC045E" w:rsidRPr="00996FAF" w:rsidRDefault="002A31E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A6D7D">
                  <w:rPr>
                    <w:rFonts w:ascii="Arial" w:hAnsi="Arial" w:cs="Arial"/>
                    <w:color w:val="auto"/>
                  </w:rPr>
                  <w:t>Compliant</w:t>
                </w:r>
              </w:sdtContent>
            </w:sdt>
          </w:p>
        </w:tc>
      </w:tr>
    </w:tbl>
    <w:p w14:paraId="585B81FA" w14:textId="77777777" w:rsidR="00D87E7C" w:rsidRDefault="00C746FB" w:rsidP="00D87E7C">
      <w:pPr>
        <w:pStyle w:val="Heading20"/>
      </w:pPr>
      <w:r w:rsidRPr="00996FAF">
        <w:t>Findings</w:t>
      </w:r>
    </w:p>
    <w:p w14:paraId="2289BB22" w14:textId="37F6BD88" w:rsidR="008910C5" w:rsidRPr="008910C5" w:rsidRDefault="008910C5" w:rsidP="002A31E7">
      <w:pPr>
        <w:rPr>
          <w:rFonts w:ascii="Arial" w:eastAsia="Times New Roman" w:hAnsi="Arial" w:cs="Arial"/>
          <w:color w:val="000000"/>
          <w:lang w:eastAsia="en-AU"/>
        </w:rPr>
      </w:pPr>
      <w:r w:rsidRPr="008910C5">
        <w:rPr>
          <w:rFonts w:ascii="Arial" w:eastAsia="Times New Roman" w:hAnsi="Arial" w:cs="Arial"/>
          <w:color w:val="000000"/>
          <w:lang w:eastAsia="en-AU"/>
        </w:rPr>
        <w:t xml:space="preserve">This Requirement was found non-compliant following a Site Audit on </w:t>
      </w:r>
      <w:r w:rsidRPr="008910C5">
        <w:rPr>
          <w:rFonts w:ascii="Arial" w:eastAsiaTheme="minorEastAsia" w:hAnsi="Arial" w:cs="Arial"/>
          <w:color w:val="auto"/>
        </w:rPr>
        <w:t>24 April 2023 to 28 April 2023</w:t>
      </w:r>
      <w:r w:rsidRPr="008910C5">
        <w:rPr>
          <w:rFonts w:ascii="Arial" w:eastAsia="Times New Roman" w:hAnsi="Arial" w:cs="Arial"/>
          <w:color w:val="000000"/>
          <w:lang w:eastAsia="en-AU"/>
        </w:rPr>
        <w:t xml:space="preserve">. The service was not able to demonstrate effective implementation of risk management practices, in relation to managing high-impact or high-prevalence risks associated with medication management. </w:t>
      </w:r>
      <w:r w:rsidR="00446904">
        <w:rPr>
          <w:rFonts w:ascii="Arial" w:eastAsia="Times New Roman" w:hAnsi="Arial" w:cs="Arial"/>
          <w:color w:val="000000"/>
          <w:lang w:eastAsia="en-AU"/>
        </w:rPr>
        <w:t xml:space="preserve">The service conducted a range of </w:t>
      </w:r>
      <w:r w:rsidR="00AE00B5">
        <w:rPr>
          <w:rFonts w:ascii="Arial" w:eastAsia="Times New Roman" w:hAnsi="Arial" w:cs="Arial"/>
          <w:color w:val="000000"/>
          <w:lang w:eastAsia="en-AU"/>
        </w:rPr>
        <w:t xml:space="preserve">measures including staff education </w:t>
      </w:r>
      <w:r w:rsidR="000C3B9A">
        <w:rPr>
          <w:rFonts w:ascii="Arial" w:eastAsia="Times New Roman" w:hAnsi="Arial" w:cs="Arial"/>
          <w:color w:val="000000"/>
          <w:lang w:eastAsia="en-AU"/>
        </w:rPr>
        <w:t>in relation to serious incident reporting</w:t>
      </w:r>
      <w:r w:rsidR="00E41583">
        <w:rPr>
          <w:rFonts w:ascii="Arial" w:eastAsia="Times New Roman" w:hAnsi="Arial" w:cs="Arial"/>
          <w:color w:val="000000"/>
          <w:lang w:eastAsia="en-AU"/>
        </w:rPr>
        <w:t>,</w:t>
      </w:r>
      <w:r w:rsidR="000C3B9A">
        <w:rPr>
          <w:rFonts w:ascii="Arial" w:eastAsia="Times New Roman" w:hAnsi="Arial" w:cs="Arial"/>
          <w:color w:val="000000"/>
          <w:lang w:eastAsia="en-AU"/>
        </w:rPr>
        <w:t xml:space="preserve"> </w:t>
      </w:r>
      <w:r w:rsidR="00261B1E">
        <w:rPr>
          <w:rFonts w:ascii="Arial" w:eastAsia="Times New Roman" w:hAnsi="Arial" w:cs="Arial"/>
          <w:color w:val="000000"/>
          <w:lang w:eastAsia="en-AU"/>
        </w:rPr>
        <w:t xml:space="preserve">made </w:t>
      </w:r>
      <w:r w:rsidR="00CC4694">
        <w:rPr>
          <w:rFonts w:ascii="Arial" w:eastAsia="Times New Roman" w:hAnsi="Arial" w:cs="Arial"/>
          <w:color w:val="000000"/>
          <w:lang w:eastAsia="en-AU"/>
        </w:rPr>
        <w:t xml:space="preserve">changes to medication management </w:t>
      </w:r>
      <w:r w:rsidR="00FF2AD0">
        <w:rPr>
          <w:rFonts w:ascii="Arial" w:eastAsia="Times New Roman" w:hAnsi="Arial" w:cs="Arial"/>
          <w:color w:val="000000"/>
          <w:lang w:eastAsia="en-AU"/>
        </w:rPr>
        <w:t xml:space="preserve">and </w:t>
      </w:r>
      <w:r w:rsidR="00765D21">
        <w:rPr>
          <w:rFonts w:ascii="Arial" w:eastAsia="Times New Roman" w:hAnsi="Arial" w:cs="Arial"/>
          <w:color w:val="000000"/>
          <w:lang w:eastAsia="en-AU"/>
        </w:rPr>
        <w:t>increased</w:t>
      </w:r>
      <w:r w:rsidR="00693B80">
        <w:rPr>
          <w:rFonts w:ascii="Arial" w:eastAsia="Times New Roman" w:hAnsi="Arial" w:cs="Arial"/>
          <w:color w:val="000000"/>
          <w:lang w:eastAsia="en-AU"/>
        </w:rPr>
        <w:t xml:space="preserve"> numbers of clinical staff</w:t>
      </w:r>
      <w:r w:rsidR="00FF2AD0">
        <w:rPr>
          <w:rFonts w:ascii="Arial" w:eastAsia="Times New Roman" w:hAnsi="Arial" w:cs="Arial"/>
          <w:color w:val="000000"/>
          <w:lang w:eastAsia="en-AU"/>
        </w:rPr>
        <w:t xml:space="preserve"> and care staff</w:t>
      </w:r>
      <w:r w:rsidR="000C3B9A">
        <w:rPr>
          <w:rFonts w:ascii="Arial" w:eastAsia="Times New Roman" w:hAnsi="Arial" w:cs="Arial"/>
          <w:color w:val="000000"/>
          <w:lang w:eastAsia="en-AU"/>
        </w:rPr>
        <w:t xml:space="preserve">. </w:t>
      </w:r>
      <w:r w:rsidR="005A3F23">
        <w:rPr>
          <w:rFonts w:ascii="Arial" w:eastAsia="Times New Roman" w:hAnsi="Arial" w:cs="Arial"/>
          <w:color w:val="000000"/>
          <w:lang w:eastAsia="en-AU"/>
        </w:rPr>
        <w:t>The</w:t>
      </w:r>
      <w:r w:rsidR="00CC4694">
        <w:rPr>
          <w:rFonts w:ascii="Arial" w:eastAsia="Times New Roman" w:hAnsi="Arial" w:cs="Arial"/>
          <w:color w:val="000000"/>
          <w:lang w:eastAsia="en-AU"/>
        </w:rPr>
        <w:t>se changes have been effective</w:t>
      </w:r>
      <w:r w:rsidR="00E40877">
        <w:rPr>
          <w:rFonts w:ascii="Arial" w:eastAsia="Times New Roman" w:hAnsi="Arial" w:cs="Arial"/>
          <w:color w:val="000000"/>
          <w:lang w:eastAsia="en-AU"/>
        </w:rPr>
        <w:t>.</w:t>
      </w:r>
      <w:r w:rsidR="005A3F23">
        <w:rPr>
          <w:rFonts w:ascii="Arial" w:eastAsia="Times New Roman" w:hAnsi="Arial" w:cs="Arial"/>
          <w:color w:val="000000"/>
          <w:lang w:eastAsia="en-AU"/>
        </w:rPr>
        <w:t xml:space="preserve"> </w:t>
      </w:r>
    </w:p>
    <w:p w14:paraId="6E600364" w14:textId="2A85402E" w:rsidR="00A2392F" w:rsidRPr="00A2392F" w:rsidRDefault="00034E9F" w:rsidP="002A31E7">
      <w:pPr>
        <w:rPr>
          <w:rFonts w:ascii="Arial" w:eastAsia="Times New Roman" w:hAnsi="Arial" w:cs="Arial"/>
          <w:color w:val="000000"/>
          <w:lang w:eastAsia="en-AU"/>
        </w:rPr>
      </w:pPr>
      <w:r w:rsidRPr="00A2392F">
        <w:rPr>
          <w:rFonts w:ascii="Arial" w:hAnsi="Arial" w:cs="Arial"/>
        </w:rPr>
        <w:t>There are organisational policies and procedures to support risk management. There is internal and external support for the risk management function across the organisation, such as the quality safety and risk team.</w:t>
      </w:r>
      <w:r w:rsidR="000B4903" w:rsidRPr="00A2392F">
        <w:rPr>
          <w:rFonts w:ascii="Arial" w:hAnsi="Arial" w:cs="Arial"/>
        </w:rPr>
        <w:t xml:space="preserve"> Quality assurance processes are used to monitor compliance with policy and procedure and related outcomes for consumers. Quality data and information is reported on regularly, to the quality risk and safety team, clinical governance committee and to the governing board.</w:t>
      </w:r>
      <w:r w:rsidR="00A2392F" w:rsidRPr="00A2392F">
        <w:rPr>
          <w:rFonts w:ascii="Arial" w:eastAsia="Times New Roman" w:hAnsi="Arial" w:cs="Arial"/>
          <w:color w:val="000000"/>
          <w:lang w:eastAsia="en-AU"/>
        </w:rPr>
        <w:t xml:space="preserve"> This includes analysis, trending and benchmarking results such as in relation to consumer incidents and complaints, quality auditing and performance indicator monitoring. </w:t>
      </w:r>
    </w:p>
    <w:p w14:paraId="71027AFB" w14:textId="77777777" w:rsidR="00624C8A" w:rsidRDefault="00624C8A" w:rsidP="002A31E7">
      <w:pPr>
        <w:rPr>
          <w:rFonts w:ascii="Arial" w:eastAsia="Times New Roman" w:hAnsi="Arial" w:cs="Arial"/>
          <w:color w:val="000000"/>
          <w:lang w:eastAsia="en-AU"/>
        </w:rPr>
      </w:pPr>
      <w:r>
        <w:rPr>
          <w:rFonts w:ascii="Arial" w:eastAsia="Times New Roman" w:hAnsi="Arial" w:cs="Arial"/>
          <w:color w:val="000000"/>
          <w:lang w:eastAsia="en-AU"/>
        </w:rPr>
        <w:t xml:space="preserve">The provider did not provide a response to the Assessment Team’s report. </w:t>
      </w:r>
    </w:p>
    <w:p w14:paraId="0734E86C" w14:textId="051F0BFE" w:rsidR="00624C8A" w:rsidRPr="00F20D11" w:rsidRDefault="00624C8A" w:rsidP="002A31E7">
      <w:pPr>
        <w:rPr>
          <w:rFonts w:ascii="Arial" w:eastAsia="Times New Roman" w:hAnsi="Arial" w:cs="Arial"/>
          <w:color w:val="000000"/>
          <w:lang w:eastAsia="en-AU"/>
        </w:rPr>
      </w:pPr>
      <w:r>
        <w:rPr>
          <w:rFonts w:ascii="Arial" w:eastAsia="Times New Roman" w:hAnsi="Arial" w:cs="Arial"/>
          <w:color w:val="000000"/>
          <w:lang w:eastAsia="en-AU"/>
        </w:rPr>
        <w:t xml:space="preserve">Having considered the information in the Assessment Team’s report I find </w:t>
      </w:r>
      <w:r w:rsidRPr="00996FAF">
        <w:rPr>
          <w:rFonts w:ascii="Arial" w:hAnsi="Arial" w:cs="Arial"/>
          <w:color w:val="auto"/>
        </w:rPr>
        <w:t xml:space="preserve">Requirement </w:t>
      </w:r>
      <w:r>
        <w:rPr>
          <w:rFonts w:ascii="Arial" w:hAnsi="Arial" w:cs="Arial"/>
          <w:color w:val="auto"/>
        </w:rPr>
        <w:t>8</w:t>
      </w:r>
      <w:r w:rsidRPr="00996FAF">
        <w:rPr>
          <w:rFonts w:ascii="Arial" w:hAnsi="Arial" w:cs="Arial"/>
          <w:color w:val="auto"/>
        </w:rPr>
        <w:t>(3)(</w:t>
      </w:r>
      <w:r>
        <w:rPr>
          <w:rFonts w:ascii="Arial" w:hAnsi="Arial" w:cs="Arial"/>
          <w:color w:val="auto"/>
        </w:rPr>
        <w:t>d</w:t>
      </w:r>
      <w:r w:rsidRPr="00996FAF">
        <w:rPr>
          <w:rFonts w:ascii="Arial" w:hAnsi="Arial" w:cs="Arial"/>
          <w:color w:val="auto"/>
        </w:rPr>
        <w:t>)</w:t>
      </w:r>
      <w:r>
        <w:rPr>
          <w:rFonts w:ascii="Arial" w:hAnsi="Arial" w:cs="Arial"/>
          <w:color w:val="auto"/>
        </w:rPr>
        <w:t xml:space="preserve"> compliant.</w:t>
      </w:r>
    </w:p>
    <w:sectPr w:rsidR="00624C8A" w:rsidRPr="00F20D1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5A4A7" w14:textId="77777777" w:rsidR="00372731" w:rsidRDefault="00372731">
      <w:pPr>
        <w:spacing w:after="0"/>
      </w:pPr>
      <w:r>
        <w:separator/>
      </w:r>
    </w:p>
  </w:endnote>
  <w:endnote w:type="continuationSeparator" w:id="0">
    <w:p w14:paraId="428D3A45" w14:textId="77777777" w:rsidR="00372731" w:rsidRDefault="003727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8201" w14:textId="77777777" w:rsidR="00DF37F2" w:rsidRPr="00DF37F2" w:rsidRDefault="00C746FB" w:rsidP="00DF37F2">
    <w:pPr>
      <w:pStyle w:val="FooterArial9"/>
      <w:rPr>
        <w:rStyle w:val="FooterBold"/>
        <w:rFonts w:ascii="Arial" w:hAnsi="Arial"/>
        <w:b w:val="0"/>
      </w:rPr>
    </w:pPr>
    <w:r w:rsidRPr="00DF37F2">
      <w:rPr>
        <w:rStyle w:val="FooterBold"/>
        <w:rFonts w:ascii="Arial" w:hAnsi="Arial"/>
        <w:b w:val="0"/>
      </w:rPr>
      <w:t>Name of service: Goodhew Gardens</w:t>
    </w:r>
    <w:r w:rsidRPr="00DF37F2">
      <w:rPr>
        <w:rStyle w:val="FooterBold"/>
        <w:rFonts w:ascii="Arial" w:hAnsi="Arial"/>
        <w:b w:val="0"/>
      </w:rPr>
      <w:tab/>
      <w:t xml:space="preserve">RPT-ACC-0122 v3.0 </w:t>
    </w:r>
  </w:p>
  <w:p w14:paraId="585B8202" w14:textId="77777777" w:rsidR="00DF37F2" w:rsidRPr="00DF37F2" w:rsidRDefault="00C746FB" w:rsidP="00DF37F2">
    <w:pPr>
      <w:pStyle w:val="FooterArial9"/>
      <w:rPr>
        <w:rStyle w:val="FooterBold"/>
        <w:rFonts w:ascii="Arial" w:hAnsi="Arial"/>
        <w:b w:val="0"/>
      </w:rPr>
    </w:pPr>
    <w:r w:rsidRPr="00DF37F2">
      <w:rPr>
        <w:rStyle w:val="FooterBold"/>
        <w:rFonts w:ascii="Arial" w:hAnsi="Arial"/>
        <w:b w:val="0"/>
      </w:rPr>
      <w:t>Commission ID: 0697</w:t>
    </w:r>
    <w:r w:rsidRPr="00DF37F2">
      <w:rPr>
        <w:rStyle w:val="FooterBold"/>
        <w:rFonts w:ascii="Arial" w:hAnsi="Arial"/>
        <w:b w:val="0"/>
      </w:rPr>
      <w:tab/>
      <w:t xml:space="preserve">OFFICIAL: Sensitive </w:t>
    </w:r>
  </w:p>
  <w:p w14:paraId="585B8203" w14:textId="77777777" w:rsidR="00DF37F2" w:rsidRPr="00DF37F2" w:rsidRDefault="00C746F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8205" w14:textId="77777777" w:rsidR="00E2364A" w:rsidRDefault="002A31E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13372" w14:textId="77777777" w:rsidR="00372731" w:rsidRDefault="00372731" w:rsidP="00D71F88">
      <w:pPr>
        <w:spacing w:after="0"/>
      </w:pPr>
      <w:r>
        <w:separator/>
      </w:r>
    </w:p>
  </w:footnote>
  <w:footnote w:type="continuationSeparator" w:id="0">
    <w:p w14:paraId="3AEC208E" w14:textId="77777777" w:rsidR="00372731" w:rsidRDefault="00372731" w:rsidP="00D71F88">
      <w:pPr>
        <w:spacing w:after="0"/>
      </w:pPr>
      <w:r>
        <w:continuationSeparator/>
      </w:r>
    </w:p>
  </w:footnote>
  <w:footnote w:id="1">
    <w:p w14:paraId="585B820A" w14:textId="4244A17C" w:rsidR="000078F8" w:rsidRDefault="00C746F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D417D9">
        <w:rPr>
          <w:rFonts w:ascii="Arial" w:hAnsi="Arial" w:cs="Arial"/>
          <w:color w:val="auto"/>
          <w:sz w:val="20"/>
          <w:szCs w:val="20"/>
        </w:rPr>
        <w:t xml:space="preserve"> 68A </w:t>
      </w:r>
      <w:r w:rsidRPr="00443CA4">
        <w:rPr>
          <w:rFonts w:ascii="Arial" w:hAnsi="Arial" w:cs="Arial"/>
          <w:sz w:val="20"/>
          <w:szCs w:val="20"/>
        </w:rPr>
        <w:t>of the Aged Care Quality and Safety Commission Rules 2018.</w:t>
      </w:r>
    </w:p>
    <w:p w14:paraId="585B820B" w14:textId="77777777" w:rsidR="002B0884" w:rsidRDefault="002A31E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8200" w14:textId="77777777" w:rsidR="00D71F88" w:rsidRDefault="00C746FB">
    <w:pPr>
      <w:pStyle w:val="Header"/>
    </w:pPr>
    <w:r>
      <w:rPr>
        <w:noProof/>
        <w:color w:val="2B579A"/>
        <w:shd w:val="clear" w:color="auto" w:fill="E6E6E6"/>
        <w:lang w:val="en-US"/>
      </w:rPr>
      <w:drawing>
        <wp:anchor distT="0" distB="0" distL="114300" distR="114300" simplePos="0" relativeHeight="251659264" behindDoc="1" locked="0" layoutInCell="1" allowOverlap="1" wp14:anchorId="585B8206" wp14:editId="585B820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9161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8204" w14:textId="77777777" w:rsidR="00FA0A5B" w:rsidRDefault="00C746FB">
    <w:pPr>
      <w:pStyle w:val="Header"/>
    </w:pPr>
    <w:r>
      <w:rPr>
        <w:noProof/>
      </w:rPr>
      <w:drawing>
        <wp:anchor distT="0" distB="0" distL="114300" distR="114300" simplePos="0" relativeHeight="251658240" behindDoc="0" locked="0" layoutInCell="1" allowOverlap="1" wp14:anchorId="585B8208" wp14:editId="585B820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CD8FE86">
      <w:start w:val="1"/>
      <w:numFmt w:val="lowerRoman"/>
      <w:lvlText w:val="(%1)"/>
      <w:lvlJc w:val="left"/>
      <w:pPr>
        <w:ind w:left="1080" w:hanging="720"/>
      </w:pPr>
      <w:rPr>
        <w:rFonts w:hint="default"/>
      </w:rPr>
    </w:lvl>
    <w:lvl w:ilvl="1" w:tplc="0E38DE30" w:tentative="1">
      <w:start w:val="1"/>
      <w:numFmt w:val="lowerLetter"/>
      <w:lvlText w:val="%2."/>
      <w:lvlJc w:val="left"/>
      <w:pPr>
        <w:ind w:left="1440" w:hanging="360"/>
      </w:pPr>
    </w:lvl>
    <w:lvl w:ilvl="2" w:tplc="940AD0C4" w:tentative="1">
      <w:start w:val="1"/>
      <w:numFmt w:val="lowerRoman"/>
      <w:lvlText w:val="%3."/>
      <w:lvlJc w:val="right"/>
      <w:pPr>
        <w:ind w:left="2160" w:hanging="180"/>
      </w:pPr>
    </w:lvl>
    <w:lvl w:ilvl="3" w:tplc="AEFA2A1C" w:tentative="1">
      <w:start w:val="1"/>
      <w:numFmt w:val="decimal"/>
      <w:lvlText w:val="%4."/>
      <w:lvlJc w:val="left"/>
      <w:pPr>
        <w:ind w:left="2880" w:hanging="360"/>
      </w:pPr>
    </w:lvl>
    <w:lvl w:ilvl="4" w:tplc="0244298E" w:tentative="1">
      <w:start w:val="1"/>
      <w:numFmt w:val="lowerLetter"/>
      <w:lvlText w:val="%5."/>
      <w:lvlJc w:val="left"/>
      <w:pPr>
        <w:ind w:left="3600" w:hanging="360"/>
      </w:pPr>
    </w:lvl>
    <w:lvl w:ilvl="5" w:tplc="A82AF774" w:tentative="1">
      <w:start w:val="1"/>
      <w:numFmt w:val="lowerRoman"/>
      <w:lvlText w:val="%6."/>
      <w:lvlJc w:val="right"/>
      <w:pPr>
        <w:ind w:left="4320" w:hanging="180"/>
      </w:pPr>
    </w:lvl>
    <w:lvl w:ilvl="6" w:tplc="A23E8E34" w:tentative="1">
      <w:start w:val="1"/>
      <w:numFmt w:val="decimal"/>
      <w:lvlText w:val="%7."/>
      <w:lvlJc w:val="left"/>
      <w:pPr>
        <w:ind w:left="5040" w:hanging="360"/>
      </w:pPr>
    </w:lvl>
    <w:lvl w:ilvl="7" w:tplc="C22C9E08" w:tentative="1">
      <w:start w:val="1"/>
      <w:numFmt w:val="lowerLetter"/>
      <w:lvlText w:val="%8."/>
      <w:lvlJc w:val="left"/>
      <w:pPr>
        <w:ind w:left="5760" w:hanging="360"/>
      </w:pPr>
    </w:lvl>
    <w:lvl w:ilvl="8" w:tplc="2D3CDEE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39C6D3E">
      <w:start w:val="1"/>
      <w:numFmt w:val="lowerRoman"/>
      <w:lvlText w:val="(%1)"/>
      <w:lvlJc w:val="left"/>
      <w:pPr>
        <w:ind w:left="1080" w:hanging="720"/>
      </w:pPr>
      <w:rPr>
        <w:rFonts w:hint="default"/>
      </w:rPr>
    </w:lvl>
    <w:lvl w:ilvl="1" w:tplc="3DC8B2EE" w:tentative="1">
      <w:start w:val="1"/>
      <w:numFmt w:val="lowerLetter"/>
      <w:lvlText w:val="%2."/>
      <w:lvlJc w:val="left"/>
      <w:pPr>
        <w:ind w:left="1440" w:hanging="360"/>
      </w:pPr>
    </w:lvl>
    <w:lvl w:ilvl="2" w:tplc="E334E1BC" w:tentative="1">
      <w:start w:val="1"/>
      <w:numFmt w:val="lowerRoman"/>
      <w:lvlText w:val="%3."/>
      <w:lvlJc w:val="right"/>
      <w:pPr>
        <w:ind w:left="2160" w:hanging="180"/>
      </w:pPr>
    </w:lvl>
    <w:lvl w:ilvl="3" w:tplc="864A3A66" w:tentative="1">
      <w:start w:val="1"/>
      <w:numFmt w:val="decimal"/>
      <w:lvlText w:val="%4."/>
      <w:lvlJc w:val="left"/>
      <w:pPr>
        <w:ind w:left="2880" w:hanging="360"/>
      </w:pPr>
    </w:lvl>
    <w:lvl w:ilvl="4" w:tplc="D0B0AE90" w:tentative="1">
      <w:start w:val="1"/>
      <w:numFmt w:val="lowerLetter"/>
      <w:lvlText w:val="%5."/>
      <w:lvlJc w:val="left"/>
      <w:pPr>
        <w:ind w:left="3600" w:hanging="360"/>
      </w:pPr>
    </w:lvl>
    <w:lvl w:ilvl="5" w:tplc="435ED064" w:tentative="1">
      <w:start w:val="1"/>
      <w:numFmt w:val="lowerRoman"/>
      <w:lvlText w:val="%6."/>
      <w:lvlJc w:val="right"/>
      <w:pPr>
        <w:ind w:left="4320" w:hanging="180"/>
      </w:pPr>
    </w:lvl>
    <w:lvl w:ilvl="6" w:tplc="44445F2C" w:tentative="1">
      <w:start w:val="1"/>
      <w:numFmt w:val="decimal"/>
      <w:lvlText w:val="%7."/>
      <w:lvlJc w:val="left"/>
      <w:pPr>
        <w:ind w:left="5040" w:hanging="360"/>
      </w:pPr>
    </w:lvl>
    <w:lvl w:ilvl="7" w:tplc="6E866856" w:tentative="1">
      <w:start w:val="1"/>
      <w:numFmt w:val="lowerLetter"/>
      <w:lvlText w:val="%8."/>
      <w:lvlJc w:val="left"/>
      <w:pPr>
        <w:ind w:left="5760" w:hanging="360"/>
      </w:pPr>
    </w:lvl>
    <w:lvl w:ilvl="8" w:tplc="0B5C214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DDE955A">
      <w:start w:val="1"/>
      <w:numFmt w:val="lowerRoman"/>
      <w:lvlText w:val="(%1)"/>
      <w:lvlJc w:val="left"/>
      <w:pPr>
        <w:ind w:left="1080" w:hanging="720"/>
      </w:pPr>
      <w:rPr>
        <w:rFonts w:hint="default"/>
      </w:rPr>
    </w:lvl>
    <w:lvl w:ilvl="1" w:tplc="296A0B7E" w:tentative="1">
      <w:start w:val="1"/>
      <w:numFmt w:val="lowerLetter"/>
      <w:lvlText w:val="%2."/>
      <w:lvlJc w:val="left"/>
      <w:pPr>
        <w:ind w:left="1440" w:hanging="360"/>
      </w:pPr>
    </w:lvl>
    <w:lvl w:ilvl="2" w:tplc="4FDC2CC2" w:tentative="1">
      <w:start w:val="1"/>
      <w:numFmt w:val="lowerRoman"/>
      <w:lvlText w:val="%3."/>
      <w:lvlJc w:val="right"/>
      <w:pPr>
        <w:ind w:left="2160" w:hanging="180"/>
      </w:pPr>
    </w:lvl>
    <w:lvl w:ilvl="3" w:tplc="87A65F32" w:tentative="1">
      <w:start w:val="1"/>
      <w:numFmt w:val="decimal"/>
      <w:lvlText w:val="%4."/>
      <w:lvlJc w:val="left"/>
      <w:pPr>
        <w:ind w:left="2880" w:hanging="360"/>
      </w:pPr>
    </w:lvl>
    <w:lvl w:ilvl="4" w:tplc="6B481C4E" w:tentative="1">
      <w:start w:val="1"/>
      <w:numFmt w:val="lowerLetter"/>
      <w:lvlText w:val="%5."/>
      <w:lvlJc w:val="left"/>
      <w:pPr>
        <w:ind w:left="3600" w:hanging="360"/>
      </w:pPr>
    </w:lvl>
    <w:lvl w:ilvl="5" w:tplc="3404FAE6" w:tentative="1">
      <w:start w:val="1"/>
      <w:numFmt w:val="lowerRoman"/>
      <w:lvlText w:val="%6."/>
      <w:lvlJc w:val="right"/>
      <w:pPr>
        <w:ind w:left="4320" w:hanging="180"/>
      </w:pPr>
    </w:lvl>
    <w:lvl w:ilvl="6" w:tplc="E3C471B0" w:tentative="1">
      <w:start w:val="1"/>
      <w:numFmt w:val="decimal"/>
      <w:lvlText w:val="%7."/>
      <w:lvlJc w:val="left"/>
      <w:pPr>
        <w:ind w:left="5040" w:hanging="360"/>
      </w:pPr>
    </w:lvl>
    <w:lvl w:ilvl="7" w:tplc="E0A6E864" w:tentative="1">
      <w:start w:val="1"/>
      <w:numFmt w:val="lowerLetter"/>
      <w:lvlText w:val="%8."/>
      <w:lvlJc w:val="left"/>
      <w:pPr>
        <w:ind w:left="5760" w:hanging="360"/>
      </w:pPr>
    </w:lvl>
    <w:lvl w:ilvl="8" w:tplc="0852A35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7989E70">
      <w:start w:val="1"/>
      <w:numFmt w:val="bullet"/>
      <w:lvlText w:val=""/>
      <w:lvlJc w:val="left"/>
      <w:pPr>
        <w:ind w:left="720" w:hanging="360"/>
      </w:pPr>
      <w:rPr>
        <w:rFonts w:ascii="Symbol" w:hAnsi="Symbol" w:hint="default"/>
        <w:color w:val="auto"/>
        <w:sz w:val="24"/>
        <w:szCs w:val="24"/>
      </w:rPr>
    </w:lvl>
    <w:lvl w:ilvl="1" w:tplc="B16E3FF6" w:tentative="1">
      <w:start w:val="1"/>
      <w:numFmt w:val="bullet"/>
      <w:lvlText w:val="o"/>
      <w:lvlJc w:val="left"/>
      <w:pPr>
        <w:ind w:left="1440" w:hanging="360"/>
      </w:pPr>
      <w:rPr>
        <w:rFonts w:ascii="Courier New" w:hAnsi="Courier New" w:cs="Courier New" w:hint="default"/>
      </w:rPr>
    </w:lvl>
    <w:lvl w:ilvl="2" w:tplc="443E82E2" w:tentative="1">
      <w:start w:val="1"/>
      <w:numFmt w:val="bullet"/>
      <w:lvlText w:val=""/>
      <w:lvlJc w:val="left"/>
      <w:pPr>
        <w:ind w:left="2160" w:hanging="360"/>
      </w:pPr>
      <w:rPr>
        <w:rFonts w:ascii="Wingdings" w:hAnsi="Wingdings" w:hint="default"/>
      </w:rPr>
    </w:lvl>
    <w:lvl w:ilvl="3" w:tplc="A9CC7A7C" w:tentative="1">
      <w:start w:val="1"/>
      <w:numFmt w:val="bullet"/>
      <w:lvlText w:val=""/>
      <w:lvlJc w:val="left"/>
      <w:pPr>
        <w:ind w:left="2880" w:hanging="360"/>
      </w:pPr>
      <w:rPr>
        <w:rFonts w:ascii="Symbol" w:hAnsi="Symbol" w:hint="default"/>
      </w:rPr>
    </w:lvl>
    <w:lvl w:ilvl="4" w:tplc="515828EA" w:tentative="1">
      <w:start w:val="1"/>
      <w:numFmt w:val="bullet"/>
      <w:lvlText w:val="o"/>
      <w:lvlJc w:val="left"/>
      <w:pPr>
        <w:ind w:left="3600" w:hanging="360"/>
      </w:pPr>
      <w:rPr>
        <w:rFonts w:ascii="Courier New" w:hAnsi="Courier New" w:cs="Courier New" w:hint="default"/>
      </w:rPr>
    </w:lvl>
    <w:lvl w:ilvl="5" w:tplc="F03E40EC" w:tentative="1">
      <w:start w:val="1"/>
      <w:numFmt w:val="bullet"/>
      <w:lvlText w:val=""/>
      <w:lvlJc w:val="left"/>
      <w:pPr>
        <w:ind w:left="4320" w:hanging="360"/>
      </w:pPr>
      <w:rPr>
        <w:rFonts w:ascii="Wingdings" w:hAnsi="Wingdings" w:hint="default"/>
      </w:rPr>
    </w:lvl>
    <w:lvl w:ilvl="6" w:tplc="EA844A6C" w:tentative="1">
      <w:start w:val="1"/>
      <w:numFmt w:val="bullet"/>
      <w:lvlText w:val=""/>
      <w:lvlJc w:val="left"/>
      <w:pPr>
        <w:ind w:left="5040" w:hanging="360"/>
      </w:pPr>
      <w:rPr>
        <w:rFonts w:ascii="Symbol" w:hAnsi="Symbol" w:hint="default"/>
      </w:rPr>
    </w:lvl>
    <w:lvl w:ilvl="7" w:tplc="8A7EAB46" w:tentative="1">
      <w:start w:val="1"/>
      <w:numFmt w:val="bullet"/>
      <w:lvlText w:val="o"/>
      <w:lvlJc w:val="left"/>
      <w:pPr>
        <w:ind w:left="5760" w:hanging="360"/>
      </w:pPr>
      <w:rPr>
        <w:rFonts w:ascii="Courier New" w:hAnsi="Courier New" w:cs="Courier New" w:hint="default"/>
      </w:rPr>
    </w:lvl>
    <w:lvl w:ilvl="8" w:tplc="3E66510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CD0E9DC">
      <w:start w:val="1"/>
      <w:numFmt w:val="lowerRoman"/>
      <w:lvlText w:val="(%1)"/>
      <w:lvlJc w:val="left"/>
      <w:pPr>
        <w:ind w:left="1080" w:hanging="720"/>
      </w:pPr>
      <w:rPr>
        <w:rFonts w:hint="default"/>
      </w:rPr>
    </w:lvl>
    <w:lvl w:ilvl="1" w:tplc="2FC26AA2" w:tentative="1">
      <w:start w:val="1"/>
      <w:numFmt w:val="lowerLetter"/>
      <w:lvlText w:val="%2."/>
      <w:lvlJc w:val="left"/>
      <w:pPr>
        <w:ind w:left="1440" w:hanging="360"/>
      </w:pPr>
    </w:lvl>
    <w:lvl w:ilvl="2" w:tplc="223E2D2C" w:tentative="1">
      <w:start w:val="1"/>
      <w:numFmt w:val="lowerRoman"/>
      <w:lvlText w:val="%3."/>
      <w:lvlJc w:val="right"/>
      <w:pPr>
        <w:ind w:left="2160" w:hanging="180"/>
      </w:pPr>
    </w:lvl>
    <w:lvl w:ilvl="3" w:tplc="3EDE5DAC" w:tentative="1">
      <w:start w:val="1"/>
      <w:numFmt w:val="decimal"/>
      <w:lvlText w:val="%4."/>
      <w:lvlJc w:val="left"/>
      <w:pPr>
        <w:ind w:left="2880" w:hanging="360"/>
      </w:pPr>
    </w:lvl>
    <w:lvl w:ilvl="4" w:tplc="23024EC4" w:tentative="1">
      <w:start w:val="1"/>
      <w:numFmt w:val="lowerLetter"/>
      <w:lvlText w:val="%5."/>
      <w:lvlJc w:val="left"/>
      <w:pPr>
        <w:ind w:left="3600" w:hanging="360"/>
      </w:pPr>
    </w:lvl>
    <w:lvl w:ilvl="5" w:tplc="3CFE4100" w:tentative="1">
      <w:start w:val="1"/>
      <w:numFmt w:val="lowerRoman"/>
      <w:lvlText w:val="%6."/>
      <w:lvlJc w:val="right"/>
      <w:pPr>
        <w:ind w:left="4320" w:hanging="180"/>
      </w:pPr>
    </w:lvl>
    <w:lvl w:ilvl="6" w:tplc="076AEC2C" w:tentative="1">
      <w:start w:val="1"/>
      <w:numFmt w:val="decimal"/>
      <w:lvlText w:val="%7."/>
      <w:lvlJc w:val="left"/>
      <w:pPr>
        <w:ind w:left="5040" w:hanging="360"/>
      </w:pPr>
    </w:lvl>
    <w:lvl w:ilvl="7" w:tplc="0420B4DC" w:tentative="1">
      <w:start w:val="1"/>
      <w:numFmt w:val="lowerLetter"/>
      <w:lvlText w:val="%8."/>
      <w:lvlJc w:val="left"/>
      <w:pPr>
        <w:ind w:left="5760" w:hanging="360"/>
      </w:pPr>
    </w:lvl>
    <w:lvl w:ilvl="8" w:tplc="E236DDE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1EC91FC">
      <w:start w:val="1"/>
      <w:numFmt w:val="lowerRoman"/>
      <w:lvlText w:val="(%1)"/>
      <w:lvlJc w:val="left"/>
      <w:pPr>
        <w:ind w:left="1080" w:hanging="720"/>
      </w:pPr>
      <w:rPr>
        <w:rFonts w:hint="default"/>
      </w:rPr>
    </w:lvl>
    <w:lvl w:ilvl="1" w:tplc="F342C4C4" w:tentative="1">
      <w:start w:val="1"/>
      <w:numFmt w:val="lowerLetter"/>
      <w:lvlText w:val="%2."/>
      <w:lvlJc w:val="left"/>
      <w:pPr>
        <w:ind w:left="1440" w:hanging="360"/>
      </w:pPr>
    </w:lvl>
    <w:lvl w:ilvl="2" w:tplc="5056761A" w:tentative="1">
      <w:start w:val="1"/>
      <w:numFmt w:val="lowerRoman"/>
      <w:lvlText w:val="%3."/>
      <w:lvlJc w:val="right"/>
      <w:pPr>
        <w:ind w:left="2160" w:hanging="180"/>
      </w:pPr>
    </w:lvl>
    <w:lvl w:ilvl="3" w:tplc="359E6FE0" w:tentative="1">
      <w:start w:val="1"/>
      <w:numFmt w:val="decimal"/>
      <w:lvlText w:val="%4."/>
      <w:lvlJc w:val="left"/>
      <w:pPr>
        <w:ind w:left="2880" w:hanging="360"/>
      </w:pPr>
    </w:lvl>
    <w:lvl w:ilvl="4" w:tplc="4002FBA6" w:tentative="1">
      <w:start w:val="1"/>
      <w:numFmt w:val="lowerLetter"/>
      <w:lvlText w:val="%5."/>
      <w:lvlJc w:val="left"/>
      <w:pPr>
        <w:ind w:left="3600" w:hanging="360"/>
      </w:pPr>
    </w:lvl>
    <w:lvl w:ilvl="5" w:tplc="9DDCB08A" w:tentative="1">
      <w:start w:val="1"/>
      <w:numFmt w:val="lowerRoman"/>
      <w:lvlText w:val="%6."/>
      <w:lvlJc w:val="right"/>
      <w:pPr>
        <w:ind w:left="4320" w:hanging="180"/>
      </w:pPr>
    </w:lvl>
    <w:lvl w:ilvl="6" w:tplc="4072C8B0" w:tentative="1">
      <w:start w:val="1"/>
      <w:numFmt w:val="decimal"/>
      <w:lvlText w:val="%7."/>
      <w:lvlJc w:val="left"/>
      <w:pPr>
        <w:ind w:left="5040" w:hanging="360"/>
      </w:pPr>
    </w:lvl>
    <w:lvl w:ilvl="7" w:tplc="7F4AC47E" w:tentative="1">
      <w:start w:val="1"/>
      <w:numFmt w:val="lowerLetter"/>
      <w:lvlText w:val="%8."/>
      <w:lvlJc w:val="left"/>
      <w:pPr>
        <w:ind w:left="5760" w:hanging="360"/>
      </w:pPr>
    </w:lvl>
    <w:lvl w:ilvl="8" w:tplc="B16E712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5BCA2A4">
      <w:start w:val="1"/>
      <w:numFmt w:val="lowerRoman"/>
      <w:lvlText w:val="(%1)"/>
      <w:lvlJc w:val="left"/>
      <w:pPr>
        <w:ind w:left="1080" w:hanging="720"/>
      </w:pPr>
      <w:rPr>
        <w:rFonts w:hint="default"/>
      </w:rPr>
    </w:lvl>
    <w:lvl w:ilvl="1" w:tplc="0384561C" w:tentative="1">
      <w:start w:val="1"/>
      <w:numFmt w:val="lowerLetter"/>
      <w:lvlText w:val="%2."/>
      <w:lvlJc w:val="left"/>
      <w:pPr>
        <w:ind w:left="1440" w:hanging="360"/>
      </w:pPr>
    </w:lvl>
    <w:lvl w:ilvl="2" w:tplc="F2344E16" w:tentative="1">
      <w:start w:val="1"/>
      <w:numFmt w:val="lowerRoman"/>
      <w:lvlText w:val="%3."/>
      <w:lvlJc w:val="right"/>
      <w:pPr>
        <w:ind w:left="2160" w:hanging="180"/>
      </w:pPr>
    </w:lvl>
    <w:lvl w:ilvl="3" w:tplc="1D2456DA" w:tentative="1">
      <w:start w:val="1"/>
      <w:numFmt w:val="decimal"/>
      <w:lvlText w:val="%4."/>
      <w:lvlJc w:val="left"/>
      <w:pPr>
        <w:ind w:left="2880" w:hanging="360"/>
      </w:pPr>
    </w:lvl>
    <w:lvl w:ilvl="4" w:tplc="75B4D5F6" w:tentative="1">
      <w:start w:val="1"/>
      <w:numFmt w:val="lowerLetter"/>
      <w:lvlText w:val="%5."/>
      <w:lvlJc w:val="left"/>
      <w:pPr>
        <w:ind w:left="3600" w:hanging="360"/>
      </w:pPr>
    </w:lvl>
    <w:lvl w:ilvl="5" w:tplc="C2141858" w:tentative="1">
      <w:start w:val="1"/>
      <w:numFmt w:val="lowerRoman"/>
      <w:lvlText w:val="%6."/>
      <w:lvlJc w:val="right"/>
      <w:pPr>
        <w:ind w:left="4320" w:hanging="180"/>
      </w:pPr>
    </w:lvl>
    <w:lvl w:ilvl="6" w:tplc="54DABFEC" w:tentative="1">
      <w:start w:val="1"/>
      <w:numFmt w:val="decimal"/>
      <w:lvlText w:val="%7."/>
      <w:lvlJc w:val="left"/>
      <w:pPr>
        <w:ind w:left="5040" w:hanging="360"/>
      </w:pPr>
    </w:lvl>
    <w:lvl w:ilvl="7" w:tplc="6B703966" w:tentative="1">
      <w:start w:val="1"/>
      <w:numFmt w:val="lowerLetter"/>
      <w:lvlText w:val="%8."/>
      <w:lvlJc w:val="left"/>
      <w:pPr>
        <w:ind w:left="5760" w:hanging="360"/>
      </w:pPr>
    </w:lvl>
    <w:lvl w:ilvl="8" w:tplc="5670A21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CA8D3E8">
      <w:start w:val="1"/>
      <w:numFmt w:val="lowerRoman"/>
      <w:lvlText w:val="(%1)"/>
      <w:lvlJc w:val="left"/>
      <w:pPr>
        <w:ind w:left="1080" w:hanging="720"/>
      </w:pPr>
      <w:rPr>
        <w:rFonts w:hint="default"/>
      </w:rPr>
    </w:lvl>
    <w:lvl w:ilvl="1" w:tplc="E6EEC6A4" w:tentative="1">
      <w:start w:val="1"/>
      <w:numFmt w:val="lowerLetter"/>
      <w:lvlText w:val="%2."/>
      <w:lvlJc w:val="left"/>
      <w:pPr>
        <w:ind w:left="1440" w:hanging="360"/>
      </w:pPr>
    </w:lvl>
    <w:lvl w:ilvl="2" w:tplc="F6AAA37A" w:tentative="1">
      <w:start w:val="1"/>
      <w:numFmt w:val="lowerRoman"/>
      <w:lvlText w:val="%3."/>
      <w:lvlJc w:val="right"/>
      <w:pPr>
        <w:ind w:left="2160" w:hanging="180"/>
      </w:pPr>
    </w:lvl>
    <w:lvl w:ilvl="3" w:tplc="F0B4EED4" w:tentative="1">
      <w:start w:val="1"/>
      <w:numFmt w:val="decimal"/>
      <w:lvlText w:val="%4."/>
      <w:lvlJc w:val="left"/>
      <w:pPr>
        <w:ind w:left="2880" w:hanging="360"/>
      </w:pPr>
    </w:lvl>
    <w:lvl w:ilvl="4" w:tplc="E6F041B0" w:tentative="1">
      <w:start w:val="1"/>
      <w:numFmt w:val="lowerLetter"/>
      <w:lvlText w:val="%5."/>
      <w:lvlJc w:val="left"/>
      <w:pPr>
        <w:ind w:left="3600" w:hanging="360"/>
      </w:pPr>
    </w:lvl>
    <w:lvl w:ilvl="5" w:tplc="4E3A732E" w:tentative="1">
      <w:start w:val="1"/>
      <w:numFmt w:val="lowerRoman"/>
      <w:lvlText w:val="%6."/>
      <w:lvlJc w:val="right"/>
      <w:pPr>
        <w:ind w:left="4320" w:hanging="180"/>
      </w:pPr>
    </w:lvl>
    <w:lvl w:ilvl="6" w:tplc="4FD61DEA" w:tentative="1">
      <w:start w:val="1"/>
      <w:numFmt w:val="decimal"/>
      <w:lvlText w:val="%7."/>
      <w:lvlJc w:val="left"/>
      <w:pPr>
        <w:ind w:left="5040" w:hanging="360"/>
      </w:pPr>
    </w:lvl>
    <w:lvl w:ilvl="7" w:tplc="13C27A3A" w:tentative="1">
      <w:start w:val="1"/>
      <w:numFmt w:val="lowerLetter"/>
      <w:lvlText w:val="%8."/>
      <w:lvlJc w:val="left"/>
      <w:pPr>
        <w:ind w:left="5760" w:hanging="360"/>
      </w:pPr>
    </w:lvl>
    <w:lvl w:ilvl="8" w:tplc="629C510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63EBADA">
      <w:start w:val="1"/>
      <w:numFmt w:val="lowerRoman"/>
      <w:lvlText w:val="(%1)"/>
      <w:lvlJc w:val="left"/>
      <w:pPr>
        <w:ind w:left="1080" w:hanging="720"/>
      </w:pPr>
      <w:rPr>
        <w:rFonts w:hint="default"/>
      </w:rPr>
    </w:lvl>
    <w:lvl w:ilvl="1" w:tplc="BB5A0F7C" w:tentative="1">
      <w:start w:val="1"/>
      <w:numFmt w:val="lowerLetter"/>
      <w:lvlText w:val="%2."/>
      <w:lvlJc w:val="left"/>
      <w:pPr>
        <w:ind w:left="1440" w:hanging="360"/>
      </w:pPr>
    </w:lvl>
    <w:lvl w:ilvl="2" w:tplc="846217BC" w:tentative="1">
      <w:start w:val="1"/>
      <w:numFmt w:val="lowerRoman"/>
      <w:lvlText w:val="%3."/>
      <w:lvlJc w:val="right"/>
      <w:pPr>
        <w:ind w:left="2160" w:hanging="180"/>
      </w:pPr>
    </w:lvl>
    <w:lvl w:ilvl="3" w:tplc="0206E308" w:tentative="1">
      <w:start w:val="1"/>
      <w:numFmt w:val="decimal"/>
      <w:lvlText w:val="%4."/>
      <w:lvlJc w:val="left"/>
      <w:pPr>
        <w:ind w:left="2880" w:hanging="360"/>
      </w:pPr>
    </w:lvl>
    <w:lvl w:ilvl="4" w:tplc="445CEF6E" w:tentative="1">
      <w:start w:val="1"/>
      <w:numFmt w:val="lowerLetter"/>
      <w:lvlText w:val="%5."/>
      <w:lvlJc w:val="left"/>
      <w:pPr>
        <w:ind w:left="3600" w:hanging="360"/>
      </w:pPr>
    </w:lvl>
    <w:lvl w:ilvl="5" w:tplc="0D443BF2" w:tentative="1">
      <w:start w:val="1"/>
      <w:numFmt w:val="lowerRoman"/>
      <w:lvlText w:val="%6."/>
      <w:lvlJc w:val="right"/>
      <w:pPr>
        <w:ind w:left="4320" w:hanging="180"/>
      </w:pPr>
    </w:lvl>
    <w:lvl w:ilvl="6" w:tplc="040EE732" w:tentative="1">
      <w:start w:val="1"/>
      <w:numFmt w:val="decimal"/>
      <w:lvlText w:val="%7."/>
      <w:lvlJc w:val="left"/>
      <w:pPr>
        <w:ind w:left="5040" w:hanging="360"/>
      </w:pPr>
    </w:lvl>
    <w:lvl w:ilvl="7" w:tplc="FFC4B17A" w:tentative="1">
      <w:start w:val="1"/>
      <w:numFmt w:val="lowerLetter"/>
      <w:lvlText w:val="%8."/>
      <w:lvlJc w:val="left"/>
      <w:pPr>
        <w:ind w:left="5760" w:hanging="360"/>
      </w:pPr>
    </w:lvl>
    <w:lvl w:ilvl="8" w:tplc="339AFDB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D5244A0">
      <w:start w:val="1"/>
      <w:numFmt w:val="lowerRoman"/>
      <w:lvlText w:val="(%1)"/>
      <w:lvlJc w:val="left"/>
      <w:pPr>
        <w:ind w:left="1080" w:hanging="720"/>
      </w:pPr>
      <w:rPr>
        <w:rFonts w:hint="default"/>
      </w:rPr>
    </w:lvl>
    <w:lvl w:ilvl="1" w:tplc="FFCA9AD6" w:tentative="1">
      <w:start w:val="1"/>
      <w:numFmt w:val="lowerLetter"/>
      <w:lvlText w:val="%2."/>
      <w:lvlJc w:val="left"/>
      <w:pPr>
        <w:ind w:left="1440" w:hanging="360"/>
      </w:pPr>
    </w:lvl>
    <w:lvl w:ilvl="2" w:tplc="7D4663C8" w:tentative="1">
      <w:start w:val="1"/>
      <w:numFmt w:val="lowerRoman"/>
      <w:lvlText w:val="%3."/>
      <w:lvlJc w:val="right"/>
      <w:pPr>
        <w:ind w:left="2160" w:hanging="180"/>
      </w:pPr>
    </w:lvl>
    <w:lvl w:ilvl="3" w:tplc="6E366C6E" w:tentative="1">
      <w:start w:val="1"/>
      <w:numFmt w:val="decimal"/>
      <w:lvlText w:val="%4."/>
      <w:lvlJc w:val="left"/>
      <w:pPr>
        <w:ind w:left="2880" w:hanging="360"/>
      </w:pPr>
    </w:lvl>
    <w:lvl w:ilvl="4" w:tplc="1984542A" w:tentative="1">
      <w:start w:val="1"/>
      <w:numFmt w:val="lowerLetter"/>
      <w:lvlText w:val="%5."/>
      <w:lvlJc w:val="left"/>
      <w:pPr>
        <w:ind w:left="3600" w:hanging="360"/>
      </w:pPr>
    </w:lvl>
    <w:lvl w:ilvl="5" w:tplc="3828E4DC" w:tentative="1">
      <w:start w:val="1"/>
      <w:numFmt w:val="lowerRoman"/>
      <w:lvlText w:val="%6."/>
      <w:lvlJc w:val="right"/>
      <w:pPr>
        <w:ind w:left="4320" w:hanging="180"/>
      </w:pPr>
    </w:lvl>
    <w:lvl w:ilvl="6" w:tplc="71C2BA02" w:tentative="1">
      <w:start w:val="1"/>
      <w:numFmt w:val="decimal"/>
      <w:lvlText w:val="%7."/>
      <w:lvlJc w:val="left"/>
      <w:pPr>
        <w:ind w:left="5040" w:hanging="360"/>
      </w:pPr>
    </w:lvl>
    <w:lvl w:ilvl="7" w:tplc="6E7E7B44" w:tentative="1">
      <w:start w:val="1"/>
      <w:numFmt w:val="lowerLetter"/>
      <w:lvlText w:val="%8."/>
      <w:lvlJc w:val="left"/>
      <w:pPr>
        <w:ind w:left="5760" w:hanging="360"/>
      </w:pPr>
    </w:lvl>
    <w:lvl w:ilvl="8" w:tplc="64BA9F7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38710137">
    <w:abstractNumId w:val="10"/>
  </w:num>
  <w:num w:numId="2" w16cid:durableId="1263761012">
    <w:abstractNumId w:val="3"/>
  </w:num>
  <w:num w:numId="3" w16cid:durableId="97409468">
    <w:abstractNumId w:val="1"/>
  </w:num>
  <w:num w:numId="4" w16cid:durableId="513886531">
    <w:abstractNumId w:val="6"/>
  </w:num>
  <w:num w:numId="5" w16cid:durableId="393509307">
    <w:abstractNumId w:val="5"/>
  </w:num>
  <w:num w:numId="6" w16cid:durableId="39786865">
    <w:abstractNumId w:val="0"/>
  </w:num>
  <w:num w:numId="7" w16cid:durableId="1761559787">
    <w:abstractNumId w:val="8"/>
  </w:num>
  <w:num w:numId="8" w16cid:durableId="1342968782">
    <w:abstractNumId w:val="4"/>
  </w:num>
  <w:num w:numId="9" w16cid:durableId="552427231">
    <w:abstractNumId w:val="7"/>
  </w:num>
  <w:num w:numId="10" w16cid:durableId="665284658">
    <w:abstractNumId w:val="2"/>
  </w:num>
  <w:num w:numId="11" w16cid:durableId="13660580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A16"/>
    <w:rsid w:val="0000646E"/>
    <w:rsid w:val="00034E9F"/>
    <w:rsid w:val="000B4903"/>
    <w:rsid w:val="000B4C4D"/>
    <w:rsid w:val="000C3B9A"/>
    <w:rsid w:val="000D2EDF"/>
    <w:rsid w:val="00187DCE"/>
    <w:rsid w:val="0024266D"/>
    <w:rsid w:val="00261B1E"/>
    <w:rsid w:val="00294E43"/>
    <w:rsid w:val="002A31E7"/>
    <w:rsid w:val="003424F4"/>
    <w:rsid w:val="00372731"/>
    <w:rsid w:val="00391E8F"/>
    <w:rsid w:val="00446904"/>
    <w:rsid w:val="004B5FCA"/>
    <w:rsid w:val="005A3529"/>
    <w:rsid w:val="005A3F23"/>
    <w:rsid w:val="00624C8A"/>
    <w:rsid w:val="00654B04"/>
    <w:rsid w:val="006615F8"/>
    <w:rsid w:val="00693B80"/>
    <w:rsid w:val="00765D21"/>
    <w:rsid w:val="008910C5"/>
    <w:rsid w:val="00892F2C"/>
    <w:rsid w:val="008976E2"/>
    <w:rsid w:val="008B6CF3"/>
    <w:rsid w:val="0090633F"/>
    <w:rsid w:val="00914CC7"/>
    <w:rsid w:val="00923A16"/>
    <w:rsid w:val="00974D61"/>
    <w:rsid w:val="00A124F2"/>
    <w:rsid w:val="00A2392F"/>
    <w:rsid w:val="00A51233"/>
    <w:rsid w:val="00AB1A90"/>
    <w:rsid w:val="00AE00B5"/>
    <w:rsid w:val="00BA6D7D"/>
    <w:rsid w:val="00BD4C4E"/>
    <w:rsid w:val="00C746FB"/>
    <w:rsid w:val="00CC4694"/>
    <w:rsid w:val="00D417D9"/>
    <w:rsid w:val="00E364B4"/>
    <w:rsid w:val="00E40877"/>
    <w:rsid w:val="00E41583"/>
    <w:rsid w:val="00E952A7"/>
    <w:rsid w:val="00F03A68"/>
    <w:rsid w:val="00F05516"/>
    <w:rsid w:val="00F20D11"/>
    <w:rsid w:val="00FF2A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B80C0"/>
  <w15:docId w15:val="{2BCB8488-C608-4750-911C-24C69E1EB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70205"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70205"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70205" w:rsidP="00BF58F7">
          <w:pPr>
            <w:pStyle w:val="6A5912A791EE4CE0989E5F55DB8DE313"/>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A70205"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B59"/>
    <w:rsid w:val="002C6B78"/>
    <w:rsid w:val="00A70205"/>
    <w:rsid w:val="00B31B59"/>
    <w:rsid w:val="00DE10B9"/>
    <w:rsid w:val="00FF0F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0697</RACS_x0020_ID>
    <Approved_x0020_Provider xmlns="a8338b6e-77a6-4851-82b6-98166143ffdd">Anglican Community Services</Approved_x0020_Provider>
    <Management_x0020_Company_x0020_ID xmlns="a8338b6e-77a6-4851-82b6-98166143ffdd" xsi:nil="true"/>
    <Home xmlns="a8338b6e-77a6-4851-82b6-98166143ffdd">Goodhew Gardens</Home>
    <Signed xmlns="a8338b6e-77a6-4851-82b6-98166143ffdd" xsi:nil="true"/>
    <Uploaded xmlns="a8338b6e-77a6-4851-82b6-98166143ffdd">False</Uploaded>
    <Management_x0020_Company xmlns="a8338b6e-77a6-4851-82b6-98166143ffdd" xsi:nil="true"/>
    <Doc_x0020_Date xmlns="a8338b6e-77a6-4851-82b6-98166143ffdd">2023-09-11T06:49:00+00:00</Doc_x0020_Date>
    <CSI_x0020_ID xmlns="a8338b6e-77a6-4851-82b6-98166143ffdd" xsi:nil="true"/>
    <Case_x0020_ID xmlns="a8338b6e-77a6-4851-82b6-98166143ffdd" xsi:nil="true"/>
    <Approved_x0020_Provider_x0020_ID xmlns="a8338b6e-77a6-4851-82b6-98166143ffdd">2887BA3E-75F4-DC11-AD41-005056922186</Approved_x0020_Provider_x0020_ID>
    <Location xmlns="a8338b6e-77a6-4851-82b6-98166143ffdd" xsi:nil="true"/>
    <Home_x0020_ID xmlns="a8338b6e-77a6-4851-82b6-98166143ffdd">464699AB-7CF4-DC11-AD41-005056922186</Home_x0020_ID>
    <State xmlns="a8338b6e-77a6-4851-82b6-98166143ffdd">NSW</State>
    <Doc_x0020_Sent_Received_x0020_Date xmlns="a8338b6e-77a6-4851-82b6-98166143ffdd">2023-09-11T00:00:00+00:00</Doc_x0020_Sent_Received_x0020_Date>
    <Activity_x0020_ID xmlns="a8338b6e-77a6-4851-82b6-98166143ffdd">39D00C2C-7B48-EE11-AE02-005056922186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4AB4E8A-C4F4-4352-8D67-829A81430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794</Words>
  <Characters>4527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2023-11-22T07:05:00Z</dcterms:created>
  <dcterms:modified xsi:type="dcterms:W3CDTF">2023-11-22T07:05:00Z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