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39AD4" w14:textId="77777777" w:rsidR="00D2559D" w:rsidRPr="002C3EBF" w:rsidRDefault="0043131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A39C10" wp14:editId="6CA39C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0497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A39AD5" w14:textId="77777777" w:rsidR="00D2559D" w:rsidRDefault="0043131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A39AD6" w14:textId="77777777" w:rsidR="00D2559D" w:rsidRDefault="0043131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A39AD7" w14:textId="77777777" w:rsidR="00D2559D" w:rsidRPr="002C3EBF" w:rsidRDefault="0043131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343C" w14:paraId="6CA39ADA" w14:textId="77777777" w:rsidTr="00CB343C">
        <w:tc>
          <w:tcPr>
            <w:cnfStyle w:val="001000000000" w:firstRow="0" w:lastRow="0" w:firstColumn="1" w:lastColumn="0" w:oddVBand="0" w:evenVBand="0" w:oddHBand="0" w:evenHBand="0" w:firstRowFirstColumn="0" w:firstRowLastColumn="0" w:lastRowFirstColumn="0" w:lastRowLastColumn="0"/>
            <w:tcW w:w="3227" w:type="dxa"/>
          </w:tcPr>
          <w:p w14:paraId="6CA39AD8" w14:textId="77777777" w:rsidR="00D2559D" w:rsidRPr="00996FAF" w:rsidRDefault="0043131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A39AD9" w14:textId="77777777" w:rsidR="00D2559D" w:rsidRPr="00996FAF" w:rsidRDefault="004313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May Noonan Centre</w:t>
            </w:r>
          </w:p>
        </w:tc>
      </w:tr>
      <w:tr w:rsidR="00CB343C" w14:paraId="6CA39ADD" w14:textId="77777777" w:rsidTr="00CB3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39ADB" w14:textId="77777777" w:rsidR="00CA37CB" w:rsidRPr="00996FAF" w:rsidRDefault="0043131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A39ADC" w14:textId="77777777" w:rsidR="00CA37CB" w:rsidRPr="00996FAF" w:rsidRDefault="004313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Foley Street</w:t>
            </w:r>
            <w:r w:rsidRPr="00602258">
              <w:rPr>
                <w:rFonts w:ascii="Arial" w:hAnsi="Arial" w:cs="Arial"/>
                <w:color w:val="auto"/>
              </w:rPr>
              <w:t xml:space="preserve"> TERANG VIC 3264</w:t>
            </w:r>
          </w:p>
        </w:tc>
      </w:tr>
      <w:tr w:rsidR="00CB343C" w14:paraId="6CA39AE0" w14:textId="77777777" w:rsidTr="00CB34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39ADE" w14:textId="77777777" w:rsidR="00CA37CB" w:rsidRPr="00996FAF" w:rsidRDefault="0043131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A39ADF" w14:textId="77777777" w:rsidR="00CA37CB" w:rsidRPr="00996FAF" w:rsidRDefault="004313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3299</w:t>
            </w:r>
          </w:p>
        </w:tc>
      </w:tr>
      <w:tr w:rsidR="00CB343C" w14:paraId="6CA39AE3" w14:textId="77777777" w:rsidTr="00CB3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39AE1" w14:textId="77777777" w:rsidR="00D2559D" w:rsidRPr="00996FAF" w:rsidRDefault="0043131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A39AE2" w14:textId="77777777" w:rsidR="00D2559D" w:rsidRPr="00996FAF" w:rsidRDefault="004313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Lyndoch Living Limited</w:t>
            </w:r>
          </w:p>
        </w:tc>
      </w:tr>
      <w:tr w:rsidR="00CB343C" w14:paraId="6CA39AE6" w14:textId="77777777" w:rsidTr="00CB343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39AE4" w14:textId="77777777" w:rsidR="00D2559D" w:rsidRPr="00996FAF" w:rsidRDefault="0043131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A39AE5" w14:textId="77777777" w:rsidR="00D2559D" w:rsidRPr="00996FAF" w:rsidRDefault="0043131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CB343C" w14:paraId="6CA39AE9" w14:textId="77777777" w:rsidTr="00CB3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39AE7" w14:textId="77777777" w:rsidR="00D2559D" w:rsidRPr="00996FAF" w:rsidRDefault="0043131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A39AE8" w14:textId="77777777" w:rsidR="00D2559D" w:rsidRPr="00996FAF" w:rsidRDefault="0043131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June 2023</w:t>
            </w:r>
          </w:p>
        </w:tc>
      </w:tr>
      <w:tr w:rsidR="00CB343C" w14:paraId="6CA39AEC" w14:textId="77777777" w:rsidTr="00CB343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A39AEA" w14:textId="77777777" w:rsidR="00D2559D" w:rsidRPr="00996FAF" w:rsidRDefault="0043131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CA39AEB" w14:textId="4F6BEA7F" w:rsidR="00D2559D" w:rsidRPr="00996FAF" w:rsidRDefault="0071792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 June 2023</w:t>
            </w:r>
          </w:p>
        </w:tc>
      </w:tr>
    </w:tbl>
    <w:bookmarkEnd w:id="0"/>
    <w:p w14:paraId="6CA39AED" w14:textId="77777777" w:rsidR="00FA0A5B" w:rsidRPr="00996FAF" w:rsidRDefault="0043131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A39AEE" w14:textId="77777777" w:rsidR="000078F8" w:rsidRPr="00996FAF" w:rsidRDefault="0043131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CA39AEF" w14:textId="0E55CAA6" w:rsidR="000078F8" w:rsidRPr="00996FAF" w:rsidRDefault="00431314" w:rsidP="00A4305B">
      <w:pPr>
        <w:pStyle w:val="NormalArial"/>
        <w:ind w:right="-428"/>
      </w:pPr>
      <w:r w:rsidRPr="00996FAF">
        <w:t xml:space="preserve">This performance report for </w:t>
      </w:r>
      <w:r w:rsidRPr="00996FAF">
        <w:rPr>
          <w:color w:val="auto"/>
        </w:rPr>
        <w:t>May Noonan Cent</w:t>
      </w:r>
      <w:r w:rsidRPr="007B21B2">
        <w:rPr>
          <w:color w:val="auto"/>
        </w:rPr>
        <w:t>re (</w:t>
      </w:r>
      <w:r w:rsidRPr="007B21B2">
        <w:rPr>
          <w:b/>
          <w:color w:val="auto"/>
        </w:rPr>
        <w:t>the service</w:t>
      </w:r>
      <w:r w:rsidRPr="007B21B2">
        <w:rPr>
          <w:color w:val="auto"/>
        </w:rPr>
        <w:t xml:space="preserve">) has been prepared by </w:t>
      </w:r>
      <w:r w:rsidR="007B21B2" w:rsidRPr="007B21B2">
        <w:rPr>
          <w:color w:val="auto"/>
        </w:rPr>
        <w:t>N Eastwood</w:t>
      </w:r>
      <w:r w:rsidRPr="007B21B2">
        <w:rPr>
          <w:color w:val="auto"/>
        </w:rPr>
        <w:t xml:space="preserve">, delegate of the Aged Care Quality </w:t>
      </w:r>
      <w:r w:rsidRPr="00996FAF">
        <w:t>and Safety Commissioner (Commissioner)</w:t>
      </w:r>
      <w:r>
        <w:rPr>
          <w:rStyle w:val="FootnoteReference"/>
        </w:rPr>
        <w:footnoteReference w:id="1"/>
      </w:r>
      <w:r w:rsidRPr="00996FAF">
        <w:t xml:space="preserve">. </w:t>
      </w:r>
    </w:p>
    <w:p w14:paraId="6CA39AF0" w14:textId="77777777" w:rsidR="000078F8" w:rsidRPr="00996FAF" w:rsidRDefault="0043131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A39AF1" w14:textId="77777777" w:rsidR="000078F8" w:rsidRPr="00996FAF" w:rsidRDefault="00431314" w:rsidP="0036130C">
      <w:pPr>
        <w:pStyle w:val="NormalArial"/>
      </w:pPr>
      <w:r w:rsidRPr="00996FAF">
        <w:t>The report also specifies any areas in which improvements must be made to ensure the Quality Standards are complied with.</w:t>
      </w:r>
    </w:p>
    <w:p w14:paraId="6CA39AF2" w14:textId="77777777" w:rsidR="00DF37F2" w:rsidRPr="00996FAF" w:rsidRDefault="00431314" w:rsidP="00712752">
      <w:pPr>
        <w:pStyle w:val="Heading1"/>
        <w:spacing w:before="240" w:after="240" w:line="22" w:lineRule="atLeast"/>
        <w:rPr>
          <w:rFonts w:ascii="Arial" w:hAnsi="Arial" w:cs="Arial"/>
        </w:rPr>
      </w:pPr>
      <w:r w:rsidRPr="00996FAF">
        <w:rPr>
          <w:rFonts w:ascii="Arial" w:hAnsi="Arial" w:cs="Arial"/>
        </w:rPr>
        <w:t>Material relied on</w:t>
      </w:r>
    </w:p>
    <w:p w14:paraId="6CA39AF3" w14:textId="77777777" w:rsidR="00DF37F2" w:rsidRPr="00996FAF" w:rsidRDefault="00431314" w:rsidP="0036130C">
      <w:pPr>
        <w:pStyle w:val="NormalArial"/>
      </w:pPr>
      <w:r w:rsidRPr="00996FAF">
        <w:t>The following information has been considered in preparing the performance report:</w:t>
      </w:r>
    </w:p>
    <w:p w14:paraId="6CA39AF4" w14:textId="5212BBBD" w:rsidR="00DF37F2" w:rsidRPr="00996FAF" w:rsidRDefault="00431314"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w:t>
      </w:r>
      <w:r w:rsidRPr="00D45B92">
        <w:rPr>
          <w:rFonts w:ascii="Arial" w:hAnsi="Arial" w:cs="Arial"/>
          <w:color w:val="auto"/>
        </w:rPr>
        <w:t xml:space="preserve">report was informed by </w:t>
      </w:r>
      <w:r w:rsidR="007B21B2" w:rsidRPr="00D45B92">
        <w:rPr>
          <w:rFonts w:ascii="Arial" w:hAnsi="Arial" w:cs="Arial"/>
          <w:color w:val="auto"/>
        </w:rPr>
        <w:t>an</w:t>
      </w:r>
      <w:r w:rsidRPr="00D45B92">
        <w:rPr>
          <w:rFonts w:ascii="Arial" w:hAnsi="Arial" w:cs="Arial"/>
          <w:color w:val="auto"/>
        </w:rPr>
        <w:t xml:space="preserve"> assessment</w:t>
      </w:r>
      <w:r w:rsidR="007B21B2" w:rsidRPr="00D45B92">
        <w:rPr>
          <w:rFonts w:ascii="Arial" w:hAnsi="Arial" w:cs="Arial"/>
          <w:color w:val="auto"/>
        </w:rPr>
        <w:t xml:space="preserve"> contact</w:t>
      </w:r>
      <w:r w:rsidRPr="00D45B92">
        <w:rPr>
          <w:rFonts w:ascii="Arial" w:hAnsi="Arial" w:cs="Arial"/>
          <w:color w:val="auto"/>
        </w:rPr>
        <w:t>, review of documents and interviews with staff</w:t>
      </w:r>
      <w:r w:rsidR="00D45B92">
        <w:rPr>
          <w:rFonts w:ascii="Arial" w:hAnsi="Arial" w:cs="Arial"/>
          <w:color w:val="auto"/>
        </w:rPr>
        <w:t>.</w:t>
      </w:r>
    </w:p>
    <w:p w14:paraId="6CA39AF8" w14:textId="0C4C00E0" w:rsidR="003B1763" w:rsidRPr="00712752" w:rsidRDefault="0043131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A39AF9" w14:textId="77777777" w:rsidR="00FC045E" w:rsidRPr="00996FAF" w:rsidRDefault="0043131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343C" w14:paraId="6CA39B02" w14:textId="77777777" w:rsidTr="00CB34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39B00" w14:textId="77777777" w:rsidR="00FC045E" w:rsidRPr="00996FAF" w:rsidRDefault="00431314" w:rsidP="009767BC">
            <w:pPr>
              <w:keepNext/>
              <w:spacing w:before="0" w:line="22" w:lineRule="atLeast"/>
              <w:rPr>
                <w:rFonts w:ascii="Arial" w:hAnsi="Arial" w:cs="Arial"/>
              </w:rPr>
            </w:pPr>
            <w:r w:rsidRPr="00996FAF">
              <w:rPr>
                <w:rFonts w:ascii="Arial" w:hAnsi="Arial" w:cs="Arial"/>
              </w:rPr>
              <w:t xml:space="preserve">Standard 3 </w:t>
            </w:r>
            <w:r w:rsidRPr="007B21B2">
              <w:rPr>
                <w:rFonts w:ascii="Arial" w:hAnsi="Arial" w:cs="Arial"/>
                <w:b w:val="0"/>
                <w:bCs/>
              </w:rPr>
              <w:t>Personal care and clinical care</w:t>
            </w:r>
          </w:p>
        </w:tc>
        <w:tc>
          <w:tcPr>
            <w:tcW w:w="1583" w:type="pct"/>
            <w:shd w:val="clear" w:color="auto" w:fill="auto"/>
          </w:tcPr>
          <w:p w14:paraId="6CA39B01" w14:textId="0F442691" w:rsidR="00FC045E" w:rsidRPr="00996FAF" w:rsidRDefault="007849D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BE0">
                  <w:rPr>
                    <w:rFonts w:ascii="Arial" w:hAnsi="Arial" w:cs="Arial"/>
                  </w:rPr>
                  <w:t>Not applicable as not all requirements have been assessed</w:t>
                </w:r>
              </w:sdtContent>
            </w:sdt>
            <w:r w:rsidR="00431314" w:rsidRPr="00996FAF">
              <w:rPr>
                <w:rFonts w:ascii="Arial" w:hAnsi="Arial" w:cs="Arial"/>
              </w:rPr>
              <w:t xml:space="preserve"> </w:t>
            </w:r>
          </w:p>
        </w:tc>
      </w:tr>
      <w:tr w:rsidR="00CB343C" w14:paraId="6CA39B11" w14:textId="77777777" w:rsidTr="00CB343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39B0F" w14:textId="77777777" w:rsidR="00FC045E" w:rsidRPr="00996FAF" w:rsidRDefault="0043131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CA39B10" w14:textId="3C9791E3" w:rsidR="00FC045E" w:rsidRPr="00996FAF" w:rsidRDefault="007849D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7BE0">
                  <w:rPr>
                    <w:rFonts w:ascii="Arial" w:hAnsi="Arial" w:cs="Arial"/>
                    <w:b/>
                  </w:rPr>
                  <w:t>Not applicable as not all requirements have been assessed</w:t>
                </w:r>
              </w:sdtContent>
            </w:sdt>
            <w:r w:rsidR="00431314" w:rsidRPr="00996FAF">
              <w:rPr>
                <w:rFonts w:ascii="Arial" w:hAnsi="Arial" w:cs="Arial"/>
                <w:b/>
              </w:rPr>
              <w:t xml:space="preserve"> </w:t>
            </w:r>
          </w:p>
        </w:tc>
      </w:tr>
    </w:tbl>
    <w:p w14:paraId="6CA39B12" w14:textId="77777777" w:rsidR="00FC045E" w:rsidRPr="00996FAF" w:rsidRDefault="0043131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A39B13" w14:textId="77777777" w:rsidR="00FC045E" w:rsidRPr="00996FAF" w:rsidRDefault="00431314" w:rsidP="00712752">
      <w:pPr>
        <w:pStyle w:val="Heading1"/>
        <w:spacing w:before="0" w:after="240" w:line="22" w:lineRule="atLeast"/>
        <w:rPr>
          <w:rFonts w:ascii="Arial" w:hAnsi="Arial" w:cs="Arial"/>
        </w:rPr>
      </w:pPr>
      <w:r w:rsidRPr="00996FAF">
        <w:rPr>
          <w:rFonts w:ascii="Arial" w:hAnsi="Arial" w:cs="Arial"/>
        </w:rPr>
        <w:t>Areas for improvement</w:t>
      </w:r>
    </w:p>
    <w:p w14:paraId="6CA39B15" w14:textId="77777777" w:rsidR="00FC045E" w:rsidRPr="00996FAF" w:rsidRDefault="0043131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A39B1A" w14:textId="3EF1D450" w:rsidR="00FC045E" w:rsidRPr="00996FAF" w:rsidRDefault="00431314" w:rsidP="0036130C">
      <w:pPr>
        <w:pStyle w:val="NormalArial"/>
      </w:pPr>
      <w:r w:rsidRPr="00996FAF">
        <w:br w:type="page"/>
      </w:r>
    </w:p>
    <w:p w14:paraId="6CA39B59" w14:textId="77777777" w:rsidR="00FC045E" w:rsidRPr="00996FAF" w:rsidRDefault="0043131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B343C" w14:paraId="6CA39B5C" w14:textId="77777777" w:rsidTr="00C673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CA39B5A" w14:textId="77777777" w:rsidR="00FC045E" w:rsidRPr="00996FAF" w:rsidRDefault="0043131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A39B5B" w14:textId="77777777" w:rsidR="00FC045E" w:rsidRPr="00996FAF" w:rsidRDefault="007849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343C" w14:paraId="6CA39B67" w14:textId="77777777" w:rsidTr="00CB343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39B64" w14:textId="77777777" w:rsidR="00FC045E" w:rsidRPr="00996FAF" w:rsidRDefault="00431314"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A39B65" w14:textId="77777777" w:rsidR="00FC045E" w:rsidRPr="00996FAF" w:rsidRDefault="0043131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CA39B66" w14:textId="1F0D2B3E" w:rsidR="00FC045E" w:rsidRPr="00996FAF" w:rsidRDefault="007849D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B38E4">
                  <w:rPr>
                    <w:rFonts w:ascii="Arial" w:hAnsi="Arial" w:cs="Arial"/>
                    <w:color w:val="auto"/>
                  </w:rPr>
                  <w:t>Compliant</w:t>
                </w:r>
              </w:sdtContent>
            </w:sdt>
            <w:r w:rsidR="00431314" w:rsidRPr="00996FAF">
              <w:rPr>
                <w:rFonts w:ascii="Arial" w:hAnsi="Arial" w:cs="Arial"/>
                <w:color w:val="0000FF"/>
              </w:rPr>
              <w:t xml:space="preserve"> </w:t>
            </w:r>
          </w:p>
        </w:tc>
      </w:tr>
    </w:tbl>
    <w:p w14:paraId="6CA39B7E" w14:textId="77777777" w:rsidR="00D87E7C" w:rsidRDefault="00431314" w:rsidP="00D87E7C">
      <w:pPr>
        <w:pStyle w:val="Heading20"/>
      </w:pPr>
      <w:r w:rsidRPr="00996FAF">
        <w:t>Findings</w:t>
      </w:r>
    </w:p>
    <w:p w14:paraId="2BDF338B" w14:textId="0EBCDAD5" w:rsidR="00E72455" w:rsidRDefault="00E72455" w:rsidP="00676438">
      <w:pPr>
        <w:pStyle w:val="NormalArial"/>
        <w:spacing w:before="240" w:line="276" w:lineRule="auto"/>
      </w:pPr>
      <w:r w:rsidRPr="00784F4E">
        <w:t xml:space="preserve">The service was </w:t>
      </w:r>
      <w:r>
        <w:t xml:space="preserve">previously </w:t>
      </w:r>
      <w:r w:rsidRPr="00784F4E">
        <w:t xml:space="preserve">found non-compliant with this requirement following a Site Audit performed between </w:t>
      </w:r>
      <w:r w:rsidR="005B7590">
        <w:t>7 March 2023 to 9 March 2023</w:t>
      </w:r>
      <w:r w:rsidRPr="00784F4E">
        <w:t xml:space="preserve">. </w:t>
      </w:r>
      <w:r>
        <w:t xml:space="preserve">At the time of the </w:t>
      </w:r>
      <w:r w:rsidR="008E5808">
        <w:t>S</w:t>
      </w:r>
      <w:r>
        <w:t>ite Audit t</w:t>
      </w:r>
      <w:r w:rsidRPr="00784F4E">
        <w:t xml:space="preserve">he service was </w:t>
      </w:r>
      <w:r>
        <w:t>unable</w:t>
      </w:r>
      <w:r w:rsidRPr="00784F4E">
        <w:t xml:space="preserve"> to demonstrate</w:t>
      </w:r>
      <w:r w:rsidR="005B7590">
        <w:t xml:space="preserve"> adequate investigation, analysis, or outcomes of medication incidents.</w:t>
      </w:r>
    </w:p>
    <w:p w14:paraId="5697F61A" w14:textId="58E23306" w:rsidR="005B7590" w:rsidRDefault="00841745" w:rsidP="00676438">
      <w:pPr>
        <w:pStyle w:val="NormalArial"/>
        <w:spacing w:before="240" w:line="276" w:lineRule="auto"/>
      </w:pPr>
      <w:r>
        <w:t xml:space="preserve">The service has implemented several effective actions in response to the non-compliance </w:t>
      </w:r>
      <w:r w:rsidR="005B7590">
        <w:t xml:space="preserve">previously </w:t>
      </w:r>
      <w:r>
        <w:t>identified</w:t>
      </w:r>
      <w:r w:rsidR="005B7590">
        <w:t xml:space="preserve">, </w:t>
      </w:r>
      <w:r>
        <w:t xml:space="preserve">which </w:t>
      </w:r>
      <w:r w:rsidR="005B7590">
        <w:t>have contributed</w:t>
      </w:r>
      <w:r>
        <w:t xml:space="preserve"> to safer medication management practices.</w:t>
      </w:r>
      <w:r w:rsidR="005B7590">
        <w:t xml:space="preserve"> There is now greater clinical supervision of staff, there is a strengthened orientation process for external staff as well as a change to the supplying pharmacy and introduction of Webster packed medication. The service has developed its ability to analyse medication incidents and set improvement actions, providing a consistent approach to medication incident follow up.</w:t>
      </w:r>
    </w:p>
    <w:p w14:paraId="75837D3A" w14:textId="47CE360B" w:rsidR="00FF7407" w:rsidRDefault="005B7590" w:rsidP="00676438">
      <w:pPr>
        <w:pStyle w:val="NormalArial"/>
        <w:spacing w:before="240" w:line="276" w:lineRule="auto"/>
        <w:rPr>
          <w:rFonts w:eastAsia="Calibri"/>
        </w:rPr>
      </w:pPr>
      <w:r>
        <w:t xml:space="preserve">The Assessment Team reviewed a range of documents to evidence outcomes described in the service’s plan for continuous improvement dated 10 May 2023 and confirmed the current practise related to review of medication incidents and investigation process. </w:t>
      </w:r>
      <w:r>
        <w:rPr>
          <w:rFonts w:eastAsia="Calibri"/>
        </w:rPr>
        <w:t xml:space="preserve">Management explained how they had been able to </w:t>
      </w:r>
      <w:r w:rsidR="00FF7407">
        <w:rPr>
          <w:rFonts w:eastAsia="Calibri"/>
        </w:rPr>
        <w:t xml:space="preserve">extend currently contracted nursing staff to </w:t>
      </w:r>
      <w:r>
        <w:rPr>
          <w:rFonts w:eastAsia="Calibri"/>
        </w:rPr>
        <w:t>enable</w:t>
      </w:r>
      <w:r w:rsidR="00FF7407">
        <w:rPr>
          <w:rFonts w:eastAsia="Calibri"/>
        </w:rPr>
        <w:t xml:space="preserve"> </w:t>
      </w:r>
      <w:r>
        <w:rPr>
          <w:rFonts w:eastAsia="Calibri"/>
        </w:rPr>
        <w:t>consistency of care</w:t>
      </w:r>
      <w:r w:rsidR="00FF7407">
        <w:rPr>
          <w:rFonts w:eastAsia="Calibri"/>
        </w:rPr>
        <w:t xml:space="preserve"> as well as ensuring adequate orientation of external staff members. Four monthly audits are undertaken, and a medication incident flow chart has been introduced which directs staff to manage patient safety and follow the service’s incident reporting process. Staff were able to describe the process if an incident occurred and the Assessment Team reviewed the documentation associated with one error which was extensively documented and investigated consistent with the described and documented process.   </w:t>
      </w:r>
    </w:p>
    <w:p w14:paraId="1F210BD2" w14:textId="1E157664" w:rsidR="005B7590" w:rsidRPr="004D154E" w:rsidRDefault="005B7590" w:rsidP="00676438">
      <w:pPr>
        <w:spacing w:before="240" w:line="276" w:lineRule="auto"/>
        <w:rPr>
          <w:rFonts w:ascii="Arial" w:eastAsia="Calibri" w:hAnsi="Arial" w:cs="Arial"/>
        </w:rPr>
      </w:pPr>
      <w:r w:rsidRPr="009D50C3">
        <w:rPr>
          <w:rFonts w:ascii="Arial" w:eastAsia="Calibri" w:hAnsi="Arial" w:cs="Arial"/>
        </w:rPr>
        <w:t xml:space="preserve">As a result, and with consideration to the implemented actions and available information I find this </w:t>
      </w:r>
      <w:r>
        <w:rPr>
          <w:rFonts w:ascii="Arial" w:eastAsia="Calibri" w:hAnsi="Arial" w:cs="Arial"/>
        </w:rPr>
        <w:t>r</w:t>
      </w:r>
      <w:r w:rsidRPr="009D50C3">
        <w:rPr>
          <w:rFonts w:ascii="Arial" w:eastAsia="Calibri" w:hAnsi="Arial" w:cs="Arial"/>
        </w:rPr>
        <w:t xml:space="preserve">equirement is now compliant.  </w:t>
      </w:r>
    </w:p>
    <w:p w14:paraId="6CA39B7F" w14:textId="4D309C7E" w:rsidR="002B0C90" w:rsidRPr="00262C0B" w:rsidRDefault="00431314" w:rsidP="0036130C">
      <w:pPr>
        <w:pStyle w:val="NormalArial"/>
      </w:pPr>
      <w:r>
        <w:br w:type="page"/>
      </w:r>
    </w:p>
    <w:p w14:paraId="6CA39BE9" w14:textId="77777777" w:rsidR="00FC045E" w:rsidRPr="00996FAF" w:rsidRDefault="0043131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B343C" w14:paraId="6CA39BEC" w14:textId="77777777" w:rsidTr="00CB34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A39BEA" w14:textId="77777777" w:rsidR="00FC045E" w:rsidRPr="00996FAF" w:rsidRDefault="00431314"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CA39BEB" w14:textId="77777777" w:rsidR="00FC045E" w:rsidRPr="00996FAF" w:rsidRDefault="007849D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343C" w14:paraId="6CA39C06" w14:textId="77777777" w:rsidTr="00CB343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A39BFF" w14:textId="77777777" w:rsidR="00FC045E" w:rsidRPr="00996FAF" w:rsidRDefault="00431314"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CA39C00" w14:textId="77777777" w:rsidR="00FC045E" w:rsidRPr="00996FAF" w:rsidRDefault="004313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CA39C01" w14:textId="77777777" w:rsidR="00FC045E" w:rsidRPr="00996FAF" w:rsidRDefault="0043131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CA39C02" w14:textId="77777777" w:rsidR="00FC045E" w:rsidRPr="00996FAF" w:rsidRDefault="0043131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A39C03" w14:textId="77777777" w:rsidR="00FC045E" w:rsidRPr="00996FAF" w:rsidRDefault="0043131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CA39C04" w14:textId="77777777" w:rsidR="00FC045E" w:rsidRPr="00996FAF" w:rsidRDefault="00431314"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CA39C05" w14:textId="2D10453A" w:rsidR="00FC045E" w:rsidRPr="00996FAF" w:rsidRDefault="007849D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B38E4">
                  <w:rPr>
                    <w:rFonts w:ascii="Arial" w:hAnsi="Arial" w:cs="Arial"/>
                    <w:color w:val="auto"/>
                  </w:rPr>
                  <w:t>Compliant</w:t>
                </w:r>
              </w:sdtContent>
            </w:sdt>
          </w:p>
        </w:tc>
      </w:tr>
    </w:tbl>
    <w:p w14:paraId="6CA39C0E" w14:textId="77777777" w:rsidR="00D87E7C" w:rsidRDefault="00431314" w:rsidP="00D87E7C">
      <w:pPr>
        <w:pStyle w:val="Heading20"/>
      </w:pPr>
      <w:r w:rsidRPr="00996FAF">
        <w:t>Findings</w:t>
      </w:r>
    </w:p>
    <w:p w14:paraId="6CA39C0F" w14:textId="34809049" w:rsidR="00117022" w:rsidRDefault="006B38E4" w:rsidP="00676438">
      <w:pPr>
        <w:pStyle w:val="NormalArial"/>
        <w:spacing w:before="240" w:line="276" w:lineRule="auto"/>
      </w:pPr>
      <w:r w:rsidRPr="00784F4E">
        <w:t xml:space="preserve">The service was </w:t>
      </w:r>
      <w:r>
        <w:t xml:space="preserve">previously </w:t>
      </w:r>
      <w:r w:rsidRPr="00784F4E">
        <w:t xml:space="preserve">found non-compliant with this requirement following a Site Audit performed between </w:t>
      </w:r>
      <w:r>
        <w:t>7 March 2023 to 9 March 2023</w:t>
      </w:r>
      <w:r w:rsidRPr="00784F4E">
        <w:t xml:space="preserve">. </w:t>
      </w:r>
      <w:r>
        <w:t>At the time of the site Audit t</w:t>
      </w:r>
      <w:r w:rsidRPr="00784F4E">
        <w:t xml:space="preserve">he service was </w:t>
      </w:r>
      <w:r>
        <w:t>unable</w:t>
      </w:r>
      <w:r w:rsidRPr="00784F4E">
        <w:t xml:space="preserve"> to demonstrate</w:t>
      </w:r>
      <w:r>
        <w:t xml:space="preserve"> effective risk management systems and practices in relation to high impact or high prevalence risks specifically in relation to medication incidents.</w:t>
      </w:r>
    </w:p>
    <w:p w14:paraId="4D726A9A" w14:textId="77777777" w:rsidR="006B38E4" w:rsidRDefault="006B38E4" w:rsidP="00676438">
      <w:pPr>
        <w:pStyle w:val="NormalArial"/>
        <w:spacing w:before="240" w:line="276" w:lineRule="auto"/>
      </w:pPr>
      <w:r>
        <w:t xml:space="preserve">The service has implemented several effective actions in response to the non-compliance previously identified including strengthened collaboration with pharmacists to improve medication management, </w:t>
      </w:r>
      <w:r w:rsidRPr="00D82FBD">
        <w:t>a process to analyse medication incidents and errors which integrates with the service’s risk management system and quality improvement process</w:t>
      </w:r>
      <w:r>
        <w:t xml:space="preserve"> and a review of the medication procedure. </w:t>
      </w:r>
    </w:p>
    <w:p w14:paraId="73B9E538" w14:textId="61B73C9E" w:rsidR="006B38E4" w:rsidRDefault="006B38E4" w:rsidP="00676438">
      <w:pPr>
        <w:pStyle w:val="NormalArial"/>
        <w:spacing w:before="240" w:line="276" w:lineRule="auto"/>
      </w:pPr>
      <w:r>
        <w:t>Management demonstrated how the previous paper based ‘medication incident reflection tool’ has been digitalised to better integrate with the service’s risk management and quality improvement processes.</w:t>
      </w:r>
      <w:r w:rsidRPr="007219D2">
        <w:t xml:space="preserve"> </w:t>
      </w:r>
      <w:r>
        <w:t xml:space="preserve">They explained how the risk management system generates notifications to quality management who follow up with nurse unit managers to ensure every section of the tool is completed for each incident. The Assessment Team reviewed clinical governance meeting minutes for the meeting held 13 June </w:t>
      </w:r>
      <w:r w:rsidR="00676438">
        <w:t>2023,</w:t>
      </w:r>
      <w:r>
        <w:t xml:space="preserve"> </w:t>
      </w:r>
      <w:r w:rsidR="00676438">
        <w:t>which demonstrates</w:t>
      </w:r>
      <w:r>
        <w:t xml:space="preserve"> </w:t>
      </w:r>
      <w:r w:rsidR="00676438">
        <w:t xml:space="preserve">after completion of </w:t>
      </w:r>
      <w:r>
        <w:t xml:space="preserve">the reflection tool </w:t>
      </w:r>
      <w:r w:rsidR="00676438">
        <w:t xml:space="preserve">an </w:t>
      </w:r>
      <w:r>
        <w:t>automatic</w:t>
      </w:r>
      <w:r w:rsidR="00676438">
        <w:t xml:space="preserve"> email is sent</w:t>
      </w:r>
      <w:r>
        <w:t xml:space="preserve"> to the quality team and managers for inclusion into ‘Riskman’ </w:t>
      </w:r>
      <w:r w:rsidR="00676438">
        <w:t>and</w:t>
      </w:r>
      <w:r>
        <w:t xml:space="preserve"> </w:t>
      </w:r>
      <w:r w:rsidR="00676438">
        <w:t>informs</w:t>
      </w:r>
      <w:r>
        <w:t xml:space="preserve"> trends for tabling at the medication advisory committee (MAC).</w:t>
      </w:r>
    </w:p>
    <w:p w14:paraId="143B312D" w14:textId="4611D23F" w:rsidR="00676438" w:rsidRDefault="00676438" w:rsidP="00676438">
      <w:pPr>
        <w:pStyle w:val="ListBullet"/>
        <w:numPr>
          <w:ilvl w:val="0"/>
          <w:numId w:val="0"/>
        </w:numPr>
        <w:spacing w:before="240" w:after="120" w:line="276" w:lineRule="auto"/>
        <w:rPr>
          <w:rFonts w:ascii="Arial" w:hAnsi="Arial" w:cs="Arial"/>
        </w:rPr>
      </w:pPr>
      <w:r w:rsidRPr="00676438">
        <w:rPr>
          <w:rFonts w:ascii="Arial" w:hAnsi="Arial" w:cs="Arial"/>
        </w:rPr>
        <w:t xml:space="preserve">The Assessment Team reviewed the service’s education records and note ongoing </w:t>
      </w:r>
      <w:r>
        <w:rPr>
          <w:rFonts w:ascii="Arial" w:hAnsi="Arial" w:cs="Arial"/>
        </w:rPr>
        <w:t xml:space="preserve">staff </w:t>
      </w:r>
      <w:r w:rsidRPr="00676438">
        <w:rPr>
          <w:rFonts w:ascii="Arial" w:hAnsi="Arial" w:cs="Arial"/>
        </w:rPr>
        <w:t xml:space="preserve">engagement </w:t>
      </w:r>
      <w:r>
        <w:rPr>
          <w:rFonts w:ascii="Arial" w:hAnsi="Arial" w:cs="Arial"/>
        </w:rPr>
        <w:t>with</w:t>
      </w:r>
      <w:r w:rsidRPr="00676438">
        <w:rPr>
          <w:rFonts w:ascii="Arial" w:hAnsi="Arial" w:cs="Arial"/>
        </w:rPr>
        <w:t xml:space="preserve"> a range of medication training</w:t>
      </w:r>
      <w:r>
        <w:rPr>
          <w:rFonts w:ascii="Arial" w:hAnsi="Arial" w:cs="Arial"/>
        </w:rPr>
        <w:t xml:space="preserve"> modules,</w:t>
      </w:r>
      <w:r w:rsidRPr="00676438">
        <w:rPr>
          <w:rFonts w:ascii="Arial" w:hAnsi="Arial" w:cs="Arial"/>
        </w:rPr>
        <w:t xml:space="preserve"> including use of the medication reflection tool and annual medication competencies</w:t>
      </w:r>
      <w:r>
        <w:rPr>
          <w:rFonts w:ascii="Arial" w:hAnsi="Arial" w:cs="Arial"/>
        </w:rPr>
        <w:t xml:space="preserve">. </w:t>
      </w:r>
      <w:r w:rsidRPr="00676438">
        <w:rPr>
          <w:rFonts w:ascii="Arial" w:hAnsi="Arial" w:cs="Arial"/>
        </w:rPr>
        <w:t>MAC minutes also evidence the consultant pharmacist regularly provides education on medication related topics to staff</w:t>
      </w:r>
      <w:r>
        <w:rPr>
          <w:rFonts w:ascii="Arial" w:hAnsi="Arial" w:cs="Arial"/>
        </w:rPr>
        <w:t xml:space="preserve"> and actively contributes to improvements with medication management and investigation processes.  </w:t>
      </w:r>
    </w:p>
    <w:p w14:paraId="05790EC1" w14:textId="77777777" w:rsidR="00676438" w:rsidRPr="004D154E" w:rsidRDefault="00676438" w:rsidP="00676438">
      <w:pPr>
        <w:spacing w:before="240" w:line="276" w:lineRule="auto"/>
        <w:rPr>
          <w:rFonts w:ascii="Arial" w:eastAsia="Calibri" w:hAnsi="Arial" w:cs="Arial"/>
        </w:rPr>
      </w:pPr>
      <w:r w:rsidRPr="009D50C3">
        <w:rPr>
          <w:rFonts w:ascii="Arial" w:eastAsia="Calibri" w:hAnsi="Arial" w:cs="Arial"/>
        </w:rPr>
        <w:t xml:space="preserve">As a result, and with consideration to the implemented actions and available information I find this </w:t>
      </w:r>
      <w:r>
        <w:rPr>
          <w:rFonts w:ascii="Arial" w:eastAsia="Calibri" w:hAnsi="Arial" w:cs="Arial"/>
        </w:rPr>
        <w:t>r</w:t>
      </w:r>
      <w:r w:rsidRPr="009D50C3">
        <w:rPr>
          <w:rFonts w:ascii="Arial" w:eastAsia="Calibri" w:hAnsi="Arial" w:cs="Arial"/>
        </w:rPr>
        <w:t xml:space="preserve">equirement is now compliant.  </w:t>
      </w:r>
    </w:p>
    <w:sectPr w:rsidR="00676438" w:rsidRPr="004D15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E7D5E" w14:textId="77777777" w:rsidR="002320CB" w:rsidRDefault="002320CB">
      <w:pPr>
        <w:spacing w:after="0"/>
      </w:pPr>
      <w:r>
        <w:separator/>
      </w:r>
    </w:p>
  </w:endnote>
  <w:endnote w:type="continuationSeparator" w:id="0">
    <w:p w14:paraId="055043AE" w14:textId="77777777" w:rsidR="002320CB" w:rsidRDefault="002320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9A16" w14:textId="77777777" w:rsidR="00944C74" w:rsidRDefault="00944C74" w:rsidP="00DF37F2">
    <w:pPr>
      <w:pStyle w:val="FooterArial9"/>
      <w:rPr>
        <w:rStyle w:val="FooterBold"/>
        <w:rFonts w:ascii="Arial" w:hAnsi="Arial"/>
        <w:b w:val="0"/>
      </w:rPr>
    </w:pPr>
  </w:p>
  <w:p w14:paraId="6CA39C15" w14:textId="773B5F8D" w:rsidR="00DF37F2" w:rsidRPr="00DF37F2" w:rsidRDefault="00431314" w:rsidP="00DF37F2">
    <w:pPr>
      <w:pStyle w:val="FooterArial9"/>
      <w:rPr>
        <w:rStyle w:val="FooterBold"/>
        <w:rFonts w:ascii="Arial" w:hAnsi="Arial"/>
        <w:b w:val="0"/>
      </w:rPr>
    </w:pPr>
    <w:r w:rsidRPr="00DF37F2">
      <w:rPr>
        <w:rStyle w:val="FooterBold"/>
        <w:rFonts w:ascii="Arial" w:hAnsi="Arial"/>
        <w:b w:val="0"/>
      </w:rPr>
      <w:t>Name of service: May Noonan Centre</w:t>
    </w:r>
    <w:r w:rsidRPr="00DF37F2">
      <w:rPr>
        <w:rStyle w:val="FooterBold"/>
        <w:rFonts w:ascii="Arial" w:hAnsi="Arial"/>
        <w:b w:val="0"/>
      </w:rPr>
      <w:tab/>
      <w:t xml:space="preserve">RPT-ACC-0122 v3.0 </w:t>
    </w:r>
  </w:p>
  <w:p w14:paraId="6CA39C16" w14:textId="77777777" w:rsidR="00DF37F2" w:rsidRPr="00DF37F2" w:rsidRDefault="00431314" w:rsidP="00DF37F2">
    <w:pPr>
      <w:pStyle w:val="FooterArial9"/>
      <w:rPr>
        <w:rStyle w:val="FooterBold"/>
        <w:rFonts w:ascii="Arial" w:hAnsi="Arial"/>
        <w:b w:val="0"/>
      </w:rPr>
    </w:pPr>
    <w:r w:rsidRPr="00DF37F2">
      <w:rPr>
        <w:rStyle w:val="FooterBold"/>
        <w:rFonts w:ascii="Arial" w:hAnsi="Arial"/>
        <w:b w:val="0"/>
      </w:rPr>
      <w:t>Commission ID: 3299</w:t>
    </w:r>
    <w:r w:rsidRPr="00DF37F2">
      <w:rPr>
        <w:rStyle w:val="FooterBold"/>
        <w:rFonts w:ascii="Arial" w:hAnsi="Arial"/>
        <w:b w:val="0"/>
      </w:rPr>
      <w:tab/>
      <w:t xml:space="preserve">OFFICIAL: Sensitive </w:t>
    </w:r>
  </w:p>
  <w:p w14:paraId="6CA39C17" w14:textId="77777777" w:rsidR="00DF37F2" w:rsidRPr="00DF37F2" w:rsidRDefault="0043131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9C19" w14:textId="77777777" w:rsidR="00E2364A" w:rsidRDefault="007849D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40892" w14:textId="77777777" w:rsidR="002320CB" w:rsidRDefault="002320CB" w:rsidP="00D71F88">
      <w:pPr>
        <w:spacing w:after="0"/>
      </w:pPr>
      <w:r>
        <w:separator/>
      </w:r>
    </w:p>
  </w:footnote>
  <w:footnote w:type="continuationSeparator" w:id="0">
    <w:p w14:paraId="10CE71F4" w14:textId="77777777" w:rsidR="002320CB" w:rsidRDefault="002320CB" w:rsidP="00D71F88">
      <w:pPr>
        <w:spacing w:after="0"/>
      </w:pPr>
      <w:r>
        <w:continuationSeparator/>
      </w:r>
    </w:p>
  </w:footnote>
  <w:footnote w:id="1">
    <w:p w14:paraId="6CA39C1F" w14:textId="790FEA69" w:rsidR="002B0884" w:rsidRPr="00944C74" w:rsidRDefault="00431314" w:rsidP="00944C7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B21B2">
        <w:rPr>
          <w:rFonts w:ascii="Arial" w:hAnsi="Arial" w:cs="Arial"/>
          <w:color w:val="auto"/>
          <w:sz w:val="20"/>
          <w:szCs w:val="20"/>
        </w:rPr>
        <w:t>section 68A</w:t>
      </w:r>
      <w:r w:rsidRPr="007B21B2">
        <w:rPr>
          <w:rFonts w:ascii="Arial" w:hAnsi="Arial" w:cs="Arial"/>
          <w:b/>
          <w:color w:val="auto"/>
          <w:sz w:val="20"/>
          <w:szCs w:val="20"/>
        </w:rPr>
        <w:t xml:space="preserve"> </w:t>
      </w:r>
      <w:r w:rsidRPr="007B21B2">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9C14" w14:textId="77777777" w:rsidR="00D71F88" w:rsidRDefault="00431314">
    <w:pPr>
      <w:pStyle w:val="Header"/>
    </w:pPr>
    <w:r>
      <w:rPr>
        <w:noProof/>
        <w:color w:val="2B579A"/>
        <w:shd w:val="clear" w:color="auto" w:fill="E6E6E6"/>
        <w:lang w:val="en-US"/>
      </w:rPr>
      <w:drawing>
        <wp:anchor distT="0" distB="0" distL="114300" distR="114300" simplePos="0" relativeHeight="251659264" behindDoc="1" locked="0" layoutInCell="1" allowOverlap="1" wp14:anchorId="6CA39C1A" wp14:editId="6CA39C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478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9C18" w14:textId="77777777" w:rsidR="00FA0A5B" w:rsidRDefault="00431314">
    <w:pPr>
      <w:pStyle w:val="Header"/>
    </w:pPr>
    <w:r>
      <w:rPr>
        <w:noProof/>
      </w:rPr>
      <w:drawing>
        <wp:anchor distT="0" distB="0" distL="114300" distR="114300" simplePos="0" relativeHeight="251658240" behindDoc="0" locked="0" layoutInCell="1" allowOverlap="1" wp14:anchorId="6CA39C1C" wp14:editId="6CA39C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3A81420">
      <w:start w:val="1"/>
      <w:numFmt w:val="lowerRoman"/>
      <w:lvlText w:val="(%1)"/>
      <w:lvlJc w:val="left"/>
      <w:pPr>
        <w:ind w:left="1080" w:hanging="720"/>
      </w:pPr>
      <w:rPr>
        <w:rFonts w:hint="default"/>
      </w:rPr>
    </w:lvl>
    <w:lvl w:ilvl="1" w:tplc="63E6D322" w:tentative="1">
      <w:start w:val="1"/>
      <w:numFmt w:val="lowerLetter"/>
      <w:lvlText w:val="%2."/>
      <w:lvlJc w:val="left"/>
      <w:pPr>
        <w:ind w:left="1440" w:hanging="360"/>
      </w:pPr>
    </w:lvl>
    <w:lvl w:ilvl="2" w:tplc="6A50218E" w:tentative="1">
      <w:start w:val="1"/>
      <w:numFmt w:val="lowerRoman"/>
      <w:lvlText w:val="%3."/>
      <w:lvlJc w:val="right"/>
      <w:pPr>
        <w:ind w:left="2160" w:hanging="180"/>
      </w:pPr>
    </w:lvl>
    <w:lvl w:ilvl="3" w:tplc="8CD666A0" w:tentative="1">
      <w:start w:val="1"/>
      <w:numFmt w:val="decimal"/>
      <w:lvlText w:val="%4."/>
      <w:lvlJc w:val="left"/>
      <w:pPr>
        <w:ind w:left="2880" w:hanging="360"/>
      </w:pPr>
    </w:lvl>
    <w:lvl w:ilvl="4" w:tplc="813A1E22" w:tentative="1">
      <w:start w:val="1"/>
      <w:numFmt w:val="lowerLetter"/>
      <w:lvlText w:val="%5."/>
      <w:lvlJc w:val="left"/>
      <w:pPr>
        <w:ind w:left="3600" w:hanging="360"/>
      </w:pPr>
    </w:lvl>
    <w:lvl w:ilvl="5" w:tplc="573AB1B2" w:tentative="1">
      <w:start w:val="1"/>
      <w:numFmt w:val="lowerRoman"/>
      <w:lvlText w:val="%6."/>
      <w:lvlJc w:val="right"/>
      <w:pPr>
        <w:ind w:left="4320" w:hanging="180"/>
      </w:pPr>
    </w:lvl>
    <w:lvl w:ilvl="6" w:tplc="73EE0588" w:tentative="1">
      <w:start w:val="1"/>
      <w:numFmt w:val="decimal"/>
      <w:lvlText w:val="%7."/>
      <w:lvlJc w:val="left"/>
      <w:pPr>
        <w:ind w:left="5040" w:hanging="360"/>
      </w:pPr>
    </w:lvl>
    <w:lvl w:ilvl="7" w:tplc="9D6CD034" w:tentative="1">
      <w:start w:val="1"/>
      <w:numFmt w:val="lowerLetter"/>
      <w:lvlText w:val="%8."/>
      <w:lvlJc w:val="left"/>
      <w:pPr>
        <w:ind w:left="5760" w:hanging="360"/>
      </w:pPr>
    </w:lvl>
    <w:lvl w:ilvl="8" w:tplc="03AE83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45202F0">
      <w:start w:val="1"/>
      <w:numFmt w:val="lowerRoman"/>
      <w:lvlText w:val="(%1)"/>
      <w:lvlJc w:val="left"/>
      <w:pPr>
        <w:ind w:left="1080" w:hanging="720"/>
      </w:pPr>
      <w:rPr>
        <w:rFonts w:hint="default"/>
      </w:rPr>
    </w:lvl>
    <w:lvl w:ilvl="1" w:tplc="0D946A08" w:tentative="1">
      <w:start w:val="1"/>
      <w:numFmt w:val="lowerLetter"/>
      <w:lvlText w:val="%2."/>
      <w:lvlJc w:val="left"/>
      <w:pPr>
        <w:ind w:left="1440" w:hanging="360"/>
      </w:pPr>
    </w:lvl>
    <w:lvl w:ilvl="2" w:tplc="2662CA0C" w:tentative="1">
      <w:start w:val="1"/>
      <w:numFmt w:val="lowerRoman"/>
      <w:lvlText w:val="%3."/>
      <w:lvlJc w:val="right"/>
      <w:pPr>
        <w:ind w:left="2160" w:hanging="180"/>
      </w:pPr>
    </w:lvl>
    <w:lvl w:ilvl="3" w:tplc="DFD6920E" w:tentative="1">
      <w:start w:val="1"/>
      <w:numFmt w:val="decimal"/>
      <w:lvlText w:val="%4."/>
      <w:lvlJc w:val="left"/>
      <w:pPr>
        <w:ind w:left="2880" w:hanging="360"/>
      </w:pPr>
    </w:lvl>
    <w:lvl w:ilvl="4" w:tplc="C502563C" w:tentative="1">
      <w:start w:val="1"/>
      <w:numFmt w:val="lowerLetter"/>
      <w:lvlText w:val="%5."/>
      <w:lvlJc w:val="left"/>
      <w:pPr>
        <w:ind w:left="3600" w:hanging="360"/>
      </w:pPr>
    </w:lvl>
    <w:lvl w:ilvl="5" w:tplc="A45851BE" w:tentative="1">
      <w:start w:val="1"/>
      <w:numFmt w:val="lowerRoman"/>
      <w:lvlText w:val="%6."/>
      <w:lvlJc w:val="right"/>
      <w:pPr>
        <w:ind w:left="4320" w:hanging="180"/>
      </w:pPr>
    </w:lvl>
    <w:lvl w:ilvl="6" w:tplc="4D228236" w:tentative="1">
      <w:start w:val="1"/>
      <w:numFmt w:val="decimal"/>
      <w:lvlText w:val="%7."/>
      <w:lvlJc w:val="left"/>
      <w:pPr>
        <w:ind w:left="5040" w:hanging="360"/>
      </w:pPr>
    </w:lvl>
    <w:lvl w:ilvl="7" w:tplc="B776CF6E" w:tentative="1">
      <w:start w:val="1"/>
      <w:numFmt w:val="lowerLetter"/>
      <w:lvlText w:val="%8."/>
      <w:lvlJc w:val="left"/>
      <w:pPr>
        <w:ind w:left="5760" w:hanging="360"/>
      </w:pPr>
    </w:lvl>
    <w:lvl w:ilvl="8" w:tplc="6F00B7D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A26E700">
      <w:start w:val="1"/>
      <w:numFmt w:val="lowerRoman"/>
      <w:lvlText w:val="(%1)"/>
      <w:lvlJc w:val="left"/>
      <w:pPr>
        <w:ind w:left="1080" w:hanging="720"/>
      </w:pPr>
      <w:rPr>
        <w:rFonts w:hint="default"/>
      </w:rPr>
    </w:lvl>
    <w:lvl w:ilvl="1" w:tplc="A656E388" w:tentative="1">
      <w:start w:val="1"/>
      <w:numFmt w:val="lowerLetter"/>
      <w:lvlText w:val="%2."/>
      <w:lvlJc w:val="left"/>
      <w:pPr>
        <w:ind w:left="1440" w:hanging="360"/>
      </w:pPr>
    </w:lvl>
    <w:lvl w:ilvl="2" w:tplc="57061BC6" w:tentative="1">
      <w:start w:val="1"/>
      <w:numFmt w:val="lowerRoman"/>
      <w:lvlText w:val="%3."/>
      <w:lvlJc w:val="right"/>
      <w:pPr>
        <w:ind w:left="2160" w:hanging="180"/>
      </w:pPr>
    </w:lvl>
    <w:lvl w:ilvl="3" w:tplc="00B6BCDC" w:tentative="1">
      <w:start w:val="1"/>
      <w:numFmt w:val="decimal"/>
      <w:lvlText w:val="%4."/>
      <w:lvlJc w:val="left"/>
      <w:pPr>
        <w:ind w:left="2880" w:hanging="360"/>
      </w:pPr>
    </w:lvl>
    <w:lvl w:ilvl="4" w:tplc="BBCC2A20" w:tentative="1">
      <w:start w:val="1"/>
      <w:numFmt w:val="lowerLetter"/>
      <w:lvlText w:val="%5."/>
      <w:lvlJc w:val="left"/>
      <w:pPr>
        <w:ind w:left="3600" w:hanging="360"/>
      </w:pPr>
    </w:lvl>
    <w:lvl w:ilvl="5" w:tplc="817006B6" w:tentative="1">
      <w:start w:val="1"/>
      <w:numFmt w:val="lowerRoman"/>
      <w:lvlText w:val="%6."/>
      <w:lvlJc w:val="right"/>
      <w:pPr>
        <w:ind w:left="4320" w:hanging="180"/>
      </w:pPr>
    </w:lvl>
    <w:lvl w:ilvl="6" w:tplc="DAF22A78" w:tentative="1">
      <w:start w:val="1"/>
      <w:numFmt w:val="decimal"/>
      <w:lvlText w:val="%7."/>
      <w:lvlJc w:val="left"/>
      <w:pPr>
        <w:ind w:left="5040" w:hanging="360"/>
      </w:pPr>
    </w:lvl>
    <w:lvl w:ilvl="7" w:tplc="C8E0CE5A" w:tentative="1">
      <w:start w:val="1"/>
      <w:numFmt w:val="lowerLetter"/>
      <w:lvlText w:val="%8."/>
      <w:lvlJc w:val="left"/>
      <w:pPr>
        <w:ind w:left="5760" w:hanging="360"/>
      </w:pPr>
    </w:lvl>
    <w:lvl w:ilvl="8" w:tplc="D1CC0A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63274BA">
      <w:start w:val="1"/>
      <w:numFmt w:val="bullet"/>
      <w:lvlText w:val=""/>
      <w:lvlJc w:val="left"/>
      <w:pPr>
        <w:ind w:left="720" w:hanging="360"/>
      </w:pPr>
      <w:rPr>
        <w:rFonts w:ascii="Symbol" w:hAnsi="Symbol" w:hint="default"/>
        <w:color w:val="auto"/>
        <w:sz w:val="24"/>
        <w:szCs w:val="24"/>
      </w:rPr>
    </w:lvl>
    <w:lvl w:ilvl="1" w:tplc="9148EA7A" w:tentative="1">
      <w:start w:val="1"/>
      <w:numFmt w:val="bullet"/>
      <w:lvlText w:val="o"/>
      <w:lvlJc w:val="left"/>
      <w:pPr>
        <w:ind w:left="1440" w:hanging="360"/>
      </w:pPr>
      <w:rPr>
        <w:rFonts w:ascii="Courier New" w:hAnsi="Courier New" w:cs="Courier New" w:hint="default"/>
      </w:rPr>
    </w:lvl>
    <w:lvl w:ilvl="2" w:tplc="C75003F0" w:tentative="1">
      <w:start w:val="1"/>
      <w:numFmt w:val="bullet"/>
      <w:lvlText w:val=""/>
      <w:lvlJc w:val="left"/>
      <w:pPr>
        <w:ind w:left="2160" w:hanging="360"/>
      </w:pPr>
      <w:rPr>
        <w:rFonts w:ascii="Wingdings" w:hAnsi="Wingdings" w:hint="default"/>
      </w:rPr>
    </w:lvl>
    <w:lvl w:ilvl="3" w:tplc="77DEDAEE" w:tentative="1">
      <w:start w:val="1"/>
      <w:numFmt w:val="bullet"/>
      <w:lvlText w:val=""/>
      <w:lvlJc w:val="left"/>
      <w:pPr>
        <w:ind w:left="2880" w:hanging="360"/>
      </w:pPr>
      <w:rPr>
        <w:rFonts w:ascii="Symbol" w:hAnsi="Symbol" w:hint="default"/>
      </w:rPr>
    </w:lvl>
    <w:lvl w:ilvl="4" w:tplc="8FA2B344" w:tentative="1">
      <w:start w:val="1"/>
      <w:numFmt w:val="bullet"/>
      <w:lvlText w:val="o"/>
      <w:lvlJc w:val="left"/>
      <w:pPr>
        <w:ind w:left="3600" w:hanging="360"/>
      </w:pPr>
      <w:rPr>
        <w:rFonts w:ascii="Courier New" w:hAnsi="Courier New" w:cs="Courier New" w:hint="default"/>
      </w:rPr>
    </w:lvl>
    <w:lvl w:ilvl="5" w:tplc="B210C49E" w:tentative="1">
      <w:start w:val="1"/>
      <w:numFmt w:val="bullet"/>
      <w:lvlText w:val=""/>
      <w:lvlJc w:val="left"/>
      <w:pPr>
        <w:ind w:left="4320" w:hanging="360"/>
      </w:pPr>
      <w:rPr>
        <w:rFonts w:ascii="Wingdings" w:hAnsi="Wingdings" w:hint="default"/>
      </w:rPr>
    </w:lvl>
    <w:lvl w:ilvl="6" w:tplc="6D26CD2A" w:tentative="1">
      <w:start w:val="1"/>
      <w:numFmt w:val="bullet"/>
      <w:lvlText w:val=""/>
      <w:lvlJc w:val="left"/>
      <w:pPr>
        <w:ind w:left="5040" w:hanging="360"/>
      </w:pPr>
      <w:rPr>
        <w:rFonts w:ascii="Symbol" w:hAnsi="Symbol" w:hint="default"/>
      </w:rPr>
    </w:lvl>
    <w:lvl w:ilvl="7" w:tplc="4224D324" w:tentative="1">
      <w:start w:val="1"/>
      <w:numFmt w:val="bullet"/>
      <w:lvlText w:val="o"/>
      <w:lvlJc w:val="left"/>
      <w:pPr>
        <w:ind w:left="5760" w:hanging="360"/>
      </w:pPr>
      <w:rPr>
        <w:rFonts w:ascii="Courier New" w:hAnsi="Courier New" w:cs="Courier New" w:hint="default"/>
      </w:rPr>
    </w:lvl>
    <w:lvl w:ilvl="8" w:tplc="C0AE4E3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6AA9F10">
      <w:start w:val="1"/>
      <w:numFmt w:val="lowerRoman"/>
      <w:lvlText w:val="(%1)"/>
      <w:lvlJc w:val="left"/>
      <w:pPr>
        <w:ind w:left="1080" w:hanging="720"/>
      </w:pPr>
      <w:rPr>
        <w:rFonts w:hint="default"/>
      </w:rPr>
    </w:lvl>
    <w:lvl w:ilvl="1" w:tplc="912CA738" w:tentative="1">
      <w:start w:val="1"/>
      <w:numFmt w:val="lowerLetter"/>
      <w:lvlText w:val="%2."/>
      <w:lvlJc w:val="left"/>
      <w:pPr>
        <w:ind w:left="1440" w:hanging="360"/>
      </w:pPr>
    </w:lvl>
    <w:lvl w:ilvl="2" w:tplc="9EFA8240" w:tentative="1">
      <w:start w:val="1"/>
      <w:numFmt w:val="lowerRoman"/>
      <w:lvlText w:val="%3."/>
      <w:lvlJc w:val="right"/>
      <w:pPr>
        <w:ind w:left="2160" w:hanging="180"/>
      </w:pPr>
    </w:lvl>
    <w:lvl w:ilvl="3" w:tplc="46CEA974" w:tentative="1">
      <w:start w:val="1"/>
      <w:numFmt w:val="decimal"/>
      <w:lvlText w:val="%4."/>
      <w:lvlJc w:val="left"/>
      <w:pPr>
        <w:ind w:left="2880" w:hanging="360"/>
      </w:pPr>
    </w:lvl>
    <w:lvl w:ilvl="4" w:tplc="770467E2" w:tentative="1">
      <w:start w:val="1"/>
      <w:numFmt w:val="lowerLetter"/>
      <w:lvlText w:val="%5."/>
      <w:lvlJc w:val="left"/>
      <w:pPr>
        <w:ind w:left="3600" w:hanging="360"/>
      </w:pPr>
    </w:lvl>
    <w:lvl w:ilvl="5" w:tplc="A9582532" w:tentative="1">
      <w:start w:val="1"/>
      <w:numFmt w:val="lowerRoman"/>
      <w:lvlText w:val="%6."/>
      <w:lvlJc w:val="right"/>
      <w:pPr>
        <w:ind w:left="4320" w:hanging="180"/>
      </w:pPr>
    </w:lvl>
    <w:lvl w:ilvl="6" w:tplc="4726EDDE" w:tentative="1">
      <w:start w:val="1"/>
      <w:numFmt w:val="decimal"/>
      <w:lvlText w:val="%7."/>
      <w:lvlJc w:val="left"/>
      <w:pPr>
        <w:ind w:left="5040" w:hanging="360"/>
      </w:pPr>
    </w:lvl>
    <w:lvl w:ilvl="7" w:tplc="F52888DC" w:tentative="1">
      <w:start w:val="1"/>
      <w:numFmt w:val="lowerLetter"/>
      <w:lvlText w:val="%8."/>
      <w:lvlJc w:val="left"/>
      <w:pPr>
        <w:ind w:left="5760" w:hanging="360"/>
      </w:pPr>
    </w:lvl>
    <w:lvl w:ilvl="8" w:tplc="01E2A3B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6EA678E">
      <w:start w:val="1"/>
      <w:numFmt w:val="lowerRoman"/>
      <w:lvlText w:val="(%1)"/>
      <w:lvlJc w:val="left"/>
      <w:pPr>
        <w:ind w:left="1080" w:hanging="720"/>
      </w:pPr>
      <w:rPr>
        <w:rFonts w:hint="default"/>
      </w:rPr>
    </w:lvl>
    <w:lvl w:ilvl="1" w:tplc="285EE8BA" w:tentative="1">
      <w:start w:val="1"/>
      <w:numFmt w:val="lowerLetter"/>
      <w:lvlText w:val="%2."/>
      <w:lvlJc w:val="left"/>
      <w:pPr>
        <w:ind w:left="1440" w:hanging="360"/>
      </w:pPr>
    </w:lvl>
    <w:lvl w:ilvl="2" w:tplc="B8E843AC" w:tentative="1">
      <w:start w:val="1"/>
      <w:numFmt w:val="lowerRoman"/>
      <w:lvlText w:val="%3."/>
      <w:lvlJc w:val="right"/>
      <w:pPr>
        <w:ind w:left="2160" w:hanging="180"/>
      </w:pPr>
    </w:lvl>
    <w:lvl w:ilvl="3" w:tplc="67FEFDC0" w:tentative="1">
      <w:start w:val="1"/>
      <w:numFmt w:val="decimal"/>
      <w:lvlText w:val="%4."/>
      <w:lvlJc w:val="left"/>
      <w:pPr>
        <w:ind w:left="2880" w:hanging="360"/>
      </w:pPr>
    </w:lvl>
    <w:lvl w:ilvl="4" w:tplc="68CCBB82" w:tentative="1">
      <w:start w:val="1"/>
      <w:numFmt w:val="lowerLetter"/>
      <w:lvlText w:val="%5."/>
      <w:lvlJc w:val="left"/>
      <w:pPr>
        <w:ind w:left="3600" w:hanging="360"/>
      </w:pPr>
    </w:lvl>
    <w:lvl w:ilvl="5" w:tplc="FAC4BCA2" w:tentative="1">
      <w:start w:val="1"/>
      <w:numFmt w:val="lowerRoman"/>
      <w:lvlText w:val="%6."/>
      <w:lvlJc w:val="right"/>
      <w:pPr>
        <w:ind w:left="4320" w:hanging="180"/>
      </w:pPr>
    </w:lvl>
    <w:lvl w:ilvl="6" w:tplc="24BE0E1C" w:tentative="1">
      <w:start w:val="1"/>
      <w:numFmt w:val="decimal"/>
      <w:lvlText w:val="%7."/>
      <w:lvlJc w:val="left"/>
      <w:pPr>
        <w:ind w:left="5040" w:hanging="360"/>
      </w:pPr>
    </w:lvl>
    <w:lvl w:ilvl="7" w:tplc="A154C410" w:tentative="1">
      <w:start w:val="1"/>
      <w:numFmt w:val="lowerLetter"/>
      <w:lvlText w:val="%8."/>
      <w:lvlJc w:val="left"/>
      <w:pPr>
        <w:ind w:left="5760" w:hanging="360"/>
      </w:pPr>
    </w:lvl>
    <w:lvl w:ilvl="8" w:tplc="34FAB2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DB49BF4">
      <w:start w:val="1"/>
      <w:numFmt w:val="lowerRoman"/>
      <w:lvlText w:val="(%1)"/>
      <w:lvlJc w:val="left"/>
      <w:pPr>
        <w:ind w:left="1080" w:hanging="720"/>
      </w:pPr>
      <w:rPr>
        <w:rFonts w:hint="default"/>
      </w:rPr>
    </w:lvl>
    <w:lvl w:ilvl="1" w:tplc="8E6C4560" w:tentative="1">
      <w:start w:val="1"/>
      <w:numFmt w:val="lowerLetter"/>
      <w:lvlText w:val="%2."/>
      <w:lvlJc w:val="left"/>
      <w:pPr>
        <w:ind w:left="1440" w:hanging="360"/>
      </w:pPr>
    </w:lvl>
    <w:lvl w:ilvl="2" w:tplc="D026CDF0" w:tentative="1">
      <w:start w:val="1"/>
      <w:numFmt w:val="lowerRoman"/>
      <w:lvlText w:val="%3."/>
      <w:lvlJc w:val="right"/>
      <w:pPr>
        <w:ind w:left="2160" w:hanging="180"/>
      </w:pPr>
    </w:lvl>
    <w:lvl w:ilvl="3" w:tplc="0374C102" w:tentative="1">
      <w:start w:val="1"/>
      <w:numFmt w:val="decimal"/>
      <w:lvlText w:val="%4."/>
      <w:lvlJc w:val="left"/>
      <w:pPr>
        <w:ind w:left="2880" w:hanging="360"/>
      </w:pPr>
    </w:lvl>
    <w:lvl w:ilvl="4" w:tplc="FD56865E" w:tentative="1">
      <w:start w:val="1"/>
      <w:numFmt w:val="lowerLetter"/>
      <w:lvlText w:val="%5."/>
      <w:lvlJc w:val="left"/>
      <w:pPr>
        <w:ind w:left="3600" w:hanging="360"/>
      </w:pPr>
    </w:lvl>
    <w:lvl w:ilvl="5" w:tplc="240C42CE" w:tentative="1">
      <w:start w:val="1"/>
      <w:numFmt w:val="lowerRoman"/>
      <w:lvlText w:val="%6."/>
      <w:lvlJc w:val="right"/>
      <w:pPr>
        <w:ind w:left="4320" w:hanging="180"/>
      </w:pPr>
    </w:lvl>
    <w:lvl w:ilvl="6" w:tplc="3864B512" w:tentative="1">
      <w:start w:val="1"/>
      <w:numFmt w:val="decimal"/>
      <w:lvlText w:val="%7."/>
      <w:lvlJc w:val="left"/>
      <w:pPr>
        <w:ind w:left="5040" w:hanging="360"/>
      </w:pPr>
    </w:lvl>
    <w:lvl w:ilvl="7" w:tplc="0B4230D2" w:tentative="1">
      <w:start w:val="1"/>
      <w:numFmt w:val="lowerLetter"/>
      <w:lvlText w:val="%8."/>
      <w:lvlJc w:val="left"/>
      <w:pPr>
        <w:ind w:left="5760" w:hanging="360"/>
      </w:pPr>
    </w:lvl>
    <w:lvl w:ilvl="8" w:tplc="32E4D5D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0C4518E">
      <w:start w:val="1"/>
      <w:numFmt w:val="lowerRoman"/>
      <w:lvlText w:val="(%1)"/>
      <w:lvlJc w:val="left"/>
      <w:pPr>
        <w:ind w:left="1080" w:hanging="720"/>
      </w:pPr>
      <w:rPr>
        <w:rFonts w:hint="default"/>
      </w:rPr>
    </w:lvl>
    <w:lvl w:ilvl="1" w:tplc="3F983F54" w:tentative="1">
      <w:start w:val="1"/>
      <w:numFmt w:val="lowerLetter"/>
      <w:lvlText w:val="%2."/>
      <w:lvlJc w:val="left"/>
      <w:pPr>
        <w:ind w:left="1440" w:hanging="360"/>
      </w:pPr>
    </w:lvl>
    <w:lvl w:ilvl="2" w:tplc="0E3EC8E2" w:tentative="1">
      <w:start w:val="1"/>
      <w:numFmt w:val="lowerRoman"/>
      <w:lvlText w:val="%3."/>
      <w:lvlJc w:val="right"/>
      <w:pPr>
        <w:ind w:left="2160" w:hanging="180"/>
      </w:pPr>
    </w:lvl>
    <w:lvl w:ilvl="3" w:tplc="FD8EDEBA" w:tentative="1">
      <w:start w:val="1"/>
      <w:numFmt w:val="decimal"/>
      <w:lvlText w:val="%4."/>
      <w:lvlJc w:val="left"/>
      <w:pPr>
        <w:ind w:left="2880" w:hanging="360"/>
      </w:pPr>
    </w:lvl>
    <w:lvl w:ilvl="4" w:tplc="2236EBDE" w:tentative="1">
      <w:start w:val="1"/>
      <w:numFmt w:val="lowerLetter"/>
      <w:lvlText w:val="%5."/>
      <w:lvlJc w:val="left"/>
      <w:pPr>
        <w:ind w:left="3600" w:hanging="360"/>
      </w:pPr>
    </w:lvl>
    <w:lvl w:ilvl="5" w:tplc="44805A22" w:tentative="1">
      <w:start w:val="1"/>
      <w:numFmt w:val="lowerRoman"/>
      <w:lvlText w:val="%6."/>
      <w:lvlJc w:val="right"/>
      <w:pPr>
        <w:ind w:left="4320" w:hanging="180"/>
      </w:pPr>
    </w:lvl>
    <w:lvl w:ilvl="6" w:tplc="617077CE" w:tentative="1">
      <w:start w:val="1"/>
      <w:numFmt w:val="decimal"/>
      <w:lvlText w:val="%7."/>
      <w:lvlJc w:val="left"/>
      <w:pPr>
        <w:ind w:left="5040" w:hanging="360"/>
      </w:pPr>
    </w:lvl>
    <w:lvl w:ilvl="7" w:tplc="B9F2F2AE" w:tentative="1">
      <w:start w:val="1"/>
      <w:numFmt w:val="lowerLetter"/>
      <w:lvlText w:val="%8."/>
      <w:lvlJc w:val="left"/>
      <w:pPr>
        <w:ind w:left="5760" w:hanging="360"/>
      </w:pPr>
    </w:lvl>
    <w:lvl w:ilvl="8" w:tplc="A16AD24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0961CCC">
      <w:start w:val="1"/>
      <w:numFmt w:val="lowerRoman"/>
      <w:lvlText w:val="(%1)"/>
      <w:lvlJc w:val="left"/>
      <w:pPr>
        <w:ind w:left="1080" w:hanging="720"/>
      </w:pPr>
      <w:rPr>
        <w:rFonts w:hint="default"/>
      </w:rPr>
    </w:lvl>
    <w:lvl w:ilvl="1" w:tplc="2B526B92" w:tentative="1">
      <w:start w:val="1"/>
      <w:numFmt w:val="lowerLetter"/>
      <w:lvlText w:val="%2."/>
      <w:lvlJc w:val="left"/>
      <w:pPr>
        <w:ind w:left="1440" w:hanging="360"/>
      </w:pPr>
    </w:lvl>
    <w:lvl w:ilvl="2" w:tplc="36BAEE6C" w:tentative="1">
      <w:start w:val="1"/>
      <w:numFmt w:val="lowerRoman"/>
      <w:lvlText w:val="%3."/>
      <w:lvlJc w:val="right"/>
      <w:pPr>
        <w:ind w:left="2160" w:hanging="180"/>
      </w:pPr>
    </w:lvl>
    <w:lvl w:ilvl="3" w:tplc="43E4F374" w:tentative="1">
      <w:start w:val="1"/>
      <w:numFmt w:val="decimal"/>
      <w:lvlText w:val="%4."/>
      <w:lvlJc w:val="left"/>
      <w:pPr>
        <w:ind w:left="2880" w:hanging="360"/>
      </w:pPr>
    </w:lvl>
    <w:lvl w:ilvl="4" w:tplc="7150641C" w:tentative="1">
      <w:start w:val="1"/>
      <w:numFmt w:val="lowerLetter"/>
      <w:lvlText w:val="%5."/>
      <w:lvlJc w:val="left"/>
      <w:pPr>
        <w:ind w:left="3600" w:hanging="360"/>
      </w:pPr>
    </w:lvl>
    <w:lvl w:ilvl="5" w:tplc="08A29242" w:tentative="1">
      <w:start w:val="1"/>
      <w:numFmt w:val="lowerRoman"/>
      <w:lvlText w:val="%6."/>
      <w:lvlJc w:val="right"/>
      <w:pPr>
        <w:ind w:left="4320" w:hanging="180"/>
      </w:pPr>
    </w:lvl>
    <w:lvl w:ilvl="6" w:tplc="8AE86950" w:tentative="1">
      <w:start w:val="1"/>
      <w:numFmt w:val="decimal"/>
      <w:lvlText w:val="%7."/>
      <w:lvlJc w:val="left"/>
      <w:pPr>
        <w:ind w:left="5040" w:hanging="360"/>
      </w:pPr>
    </w:lvl>
    <w:lvl w:ilvl="7" w:tplc="8E641674" w:tentative="1">
      <w:start w:val="1"/>
      <w:numFmt w:val="lowerLetter"/>
      <w:lvlText w:val="%8."/>
      <w:lvlJc w:val="left"/>
      <w:pPr>
        <w:ind w:left="5760" w:hanging="360"/>
      </w:pPr>
    </w:lvl>
    <w:lvl w:ilvl="8" w:tplc="D762446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9E02474A">
      <w:start w:val="1"/>
      <w:numFmt w:val="lowerRoman"/>
      <w:lvlText w:val="(%1)"/>
      <w:lvlJc w:val="left"/>
      <w:pPr>
        <w:ind w:left="1080" w:hanging="720"/>
      </w:pPr>
      <w:rPr>
        <w:rFonts w:hint="default"/>
      </w:rPr>
    </w:lvl>
    <w:lvl w:ilvl="1" w:tplc="69067700" w:tentative="1">
      <w:start w:val="1"/>
      <w:numFmt w:val="lowerLetter"/>
      <w:lvlText w:val="%2."/>
      <w:lvlJc w:val="left"/>
      <w:pPr>
        <w:ind w:left="1440" w:hanging="360"/>
      </w:pPr>
    </w:lvl>
    <w:lvl w:ilvl="2" w:tplc="99C21774" w:tentative="1">
      <w:start w:val="1"/>
      <w:numFmt w:val="lowerRoman"/>
      <w:lvlText w:val="%3."/>
      <w:lvlJc w:val="right"/>
      <w:pPr>
        <w:ind w:left="2160" w:hanging="180"/>
      </w:pPr>
    </w:lvl>
    <w:lvl w:ilvl="3" w:tplc="34EEFB2A" w:tentative="1">
      <w:start w:val="1"/>
      <w:numFmt w:val="decimal"/>
      <w:lvlText w:val="%4."/>
      <w:lvlJc w:val="left"/>
      <w:pPr>
        <w:ind w:left="2880" w:hanging="360"/>
      </w:pPr>
    </w:lvl>
    <w:lvl w:ilvl="4" w:tplc="2A682B80" w:tentative="1">
      <w:start w:val="1"/>
      <w:numFmt w:val="lowerLetter"/>
      <w:lvlText w:val="%5."/>
      <w:lvlJc w:val="left"/>
      <w:pPr>
        <w:ind w:left="3600" w:hanging="360"/>
      </w:pPr>
    </w:lvl>
    <w:lvl w:ilvl="5" w:tplc="2F96E05E" w:tentative="1">
      <w:start w:val="1"/>
      <w:numFmt w:val="lowerRoman"/>
      <w:lvlText w:val="%6."/>
      <w:lvlJc w:val="right"/>
      <w:pPr>
        <w:ind w:left="4320" w:hanging="180"/>
      </w:pPr>
    </w:lvl>
    <w:lvl w:ilvl="6" w:tplc="0B24B7E6" w:tentative="1">
      <w:start w:val="1"/>
      <w:numFmt w:val="decimal"/>
      <w:lvlText w:val="%7."/>
      <w:lvlJc w:val="left"/>
      <w:pPr>
        <w:ind w:left="5040" w:hanging="360"/>
      </w:pPr>
    </w:lvl>
    <w:lvl w:ilvl="7" w:tplc="9288F1AA" w:tentative="1">
      <w:start w:val="1"/>
      <w:numFmt w:val="lowerLetter"/>
      <w:lvlText w:val="%8."/>
      <w:lvlJc w:val="left"/>
      <w:pPr>
        <w:ind w:left="5760" w:hanging="360"/>
      </w:pPr>
    </w:lvl>
    <w:lvl w:ilvl="8" w:tplc="9C7490F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43C"/>
    <w:rsid w:val="000945A6"/>
    <w:rsid w:val="002320CB"/>
    <w:rsid w:val="0024341A"/>
    <w:rsid w:val="00431314"/>
    <w:rsid w:val="00451A8D"/>
    <w:rsid w:val="005824CE"/>
    <w:rsid w:val="005B7590"/>
    <w:rsid w:val="005F5ACA"/>
    <w:rsid w:val="00676438"/>
    <w:rsid w:val="006B38E4"/>
    <w:rsid w:val="00717928"/>
    <w:rsid w:val="007A0D55"/>
    <w:rsid w:val="007B21B2"/>
    <w:rsid w:val="00841745"/>
    <w:rsid w:val="008E5808"/>
    <w:rsid w:val="00944C74"/>
    <w:rsid w:val="00A4305B"/>
    <w:rsid w:val="00C67310"/>
    <w:rsid w:val="00CB343C"/>
    <w:rsid w:val="00CC3AD5"/>
    <w:rsid w:val="00D45B92"/>
    <w:rsid w:val="00E72455"/>
    <w:rsid w:val="00FA7BE0"/>
    <w:rsid w:val="00FF15E3"/>
    <w:rsid w:val="00FF74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39AD4"/>
  <w15:docId w15:val="{F575A12A-D266-4FB6-8AB5-3CC27AC85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D950F4"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950F4"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D950F4"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950F4"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0F4"/>
    <w:rsid w:val="006931BE"/>
    <w:rsid w:val="009A6702"/>
    <w:rsid w:val="00B24AEE"/>
    <w:rsid w:val="00D461D3"/>
    <w:rsid w:val="00D950F4"/>
    <w:rsid w:val="00F548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3299</RACS_x0020_ID>
    <Approved_x0020_Provider xmlns="a8338b6e-77a6-4851-82b6-98166143ffdd">Lyndoch Living Limited</Approved_x0020_Provider>
    <Management_x0020_Company_x0020_ID xmlns="a8338b6e-77a6-4851-82b6-98166143ffdd" xsi:nil="true"/>
    <Home xmlns="a8338b6e-77a6-4851-82b6-98166143ffdd">May Noonan Centre</Home>
    <Signed xmlns="a8338b6e-77a6-4851-82b6-98166143ffdd" xsi:nil="true"/>
    <Uploaded xmlns="a8338b6e-77a6-4851-82b6-98166143ffdd">true</Uploaded>
    <Management_x0020_Company xmlns="a8338b6e-77a6-4851-82b6-98166143ffdd" xsi:nil="true"/>
    <Doc_x0020_Date xmlns="a8338b6e-77a6-4851-82b6-98166143ffdd">2023-06-21T03:41:09+00:00</Doc_x0020_Date>
    <CSI_x0020_ID xmlns="a8338b6e-77a6-4851-82b6-98166143ffdd" xsi:nil="true"/>
    <Case_x0020_ID xmlns="a8338b6e-77a6-4851-82b6-98166143ffdd" xsi:nil="true"/>
    <Approved_x0020_Provider_x0020_ID xmlns="a8338b6e-77a6-4851-82b6-98166143ffdd">16A70409-77F4-DC11-AD41-005056922186</Approved_x0020_Provider_x0020_ID>
    <Location xmlns="a8338b6e-77a6-4851-82b6-98166143ffdd" xsi:nil="true"/>
    <Home_x0020_ID xmlns="a8338b6e-77a6-4851-82b6-98166143ffdd">D83E3B86-7CF4-DC11-AD41-005056922186</Home_x0020_ID>
    <State xmlns="a8338b6e-77a6-4851-82b6-98166143ffdd">VIC</State>
    <Doc_x0020_Sent_Received_x0020_Date xmlns="a8338b6e-77a6-4851-82b6-98166143ffdd">2023-06-21T00:00:00+00:00</Doc_x0020_Sent_Received_x0020_Date>
    <Activity_x0020_ID xmlns="a8338b6e-77a6-4851-82b6-98166143ffdd">19AE1886-6C0A-EE11-B19A-005056922186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E9C7311-9440-499D-96EF-1717445C0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a8338b6e-77a6-4851-82b6-98166143ffdd"/>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2023-06-26T02:57:00Z</dcterms:created>
  <dcterms:modified xsi:type="dcterms:W3CDTF">2023-06-26T02:57:00Z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