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C0B218A" w14:textId="77777777" w:rsidR="00997797" w:rsidRPr="002C3EBF" w:rsidRDefault="008D3674"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F418FF9" wp14:editId="313D0E76">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0212A173" w14:textId="77777777" w:rsidR="00997797" w:rsidRDefault="008D3674"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FC86510" w14:textId="77777777" w:rsidR="00997797" w:rsidRDefault="008D3674"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5D9D7B3" w14:textId="77777777" w:rsidR="00997797" w:rsidRPr="002C3EBF" w:rsidRDefault="008D3674"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D6735" w14:paraId="39430FDA" w14:textId="77777777" w:rsidTr="00DD6735">
        <w:tc>
          <w:tcPr>
            <w:cnfStyle w:val="001000000000" w:firstRow="0" w:lastRow="0" w:firstColumn="1" w:lastColumn="0" w:oddVBand="0" w:evenVBand="0" w:oddHBand="0" w:evenHBand="0" w:firstRowFirstColumn="0" w:firstRowLastColumn="0" w:lastRowFirstColumn="0" w:lastRowLastColumn="0"/>
            <w:tcW w:w="3227" w:type="dxa"/>
          </w:tcPr>
          <w:p w14:paraId="7134EA68" w14:textId="77777777" w:rsidR="00997797" w:rsidRPr="00996FAF" w:rsidRDefault="008D3674"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161185B4" w14:textId="77777777" w:rsidR="00997797" w:rsidRPr="00996FAF" w:rsidRDefault="008D367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McLean Care Mackellar Apex Campus</w:t>
            </w:r>
          </w:p>
        </w:tc>
      </w:tr>
      <w:tr w:rsidR="00DD6735" w14:paraId="0856D19B" w14:textId="77777777" w:rsidTr="00DD67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CC3E048" w14:textId="77777777" w:rsidR="00997797" w:rsidRPr="00996FAF" w:rsidRDefault="008D3674"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1800BF0" w14:textId="77777777" w:rsidR="00997797" w:rsidRPr="00C27BE3" w:rsidRDefault="008D3674"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2773</w:t>
            </w:r>
          </w:p>
        </w:tc>
      </w:tr>
      <w:tr w:rsidR="00DD6735" w14:paraId="616C57FE" w14:textId="77777777" w:rsidTr="00DD673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5B3CB81" w14:textId="77777777" w:rsidR="00997797" w:rsidRPr="00996FAF" w:rsidRDefault="008D3674"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5D92BD13" w14:textId="77777777" w:rsidR="00997797" w:rsidRPr="00996FAF" w:rsidRDefault="008D367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 Apex</w:t>
            </w:r>
            <w:r>
              <w:rPr>
                <w:rFonts w:ascii="Arial" w:eastAsia="Times New Roman" w:hAnsi="Arial" w:cs="Arial"/>
                <w:lang w:eastAsia="en-AU"/>
              </w:rPr>
              <w:t xml:space="preserve"> Road, GUNNEDAH, New South Wales, 2380</w:t>
            </w:r>
          </w:p>
        </w:tc>
      </w:tr>
      <w:tr w:rsidR="00DD6735" w14:paraId="45A9CC2C" w14:textId="77777777" w:rsidTr="00DD67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478A02A" w14:textId="77777777" w:rsidR="00997797" w:rsidRPr="00996FAF" w:rsidRDefault="008D3674"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2A52C85" w14:textId="77777777" w:rsidR="00997797" w:rsidRPr="00996FAF" w:rsidRDefault="008D3674"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DD6735" w14:paraId="1E27A9DC" w14:textId="77777777" w:rsidTr="00DD673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E0A9684" w14:textId="77777777" w:rsidR="00997797" w:rsidRPr="00996FAF" w:rsidRDefault="008D3674"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73D1A53" w14:textId="77777777" w:rsidR="00997797" w:rsidRPr="00996FAF" w:rsidRDefault="008D367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2 July 2024</w:t>
            </w:r>
          </w:p>
        </w:tc>
      </w:tr>
      <w:tr w:rsidR="00DD6735" w14:paraId="34088691" w14:textId="77777777" w:rsidTr="00DD67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2AC303D" w14:textId="77777777" w:rsidR="00997797" w:rsidRPr="00996FAF" w:rsidRDefault="008D3674"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675105304"/>
            <w:placeholder>
              <w:docPart w:val="DefaultPlaceholder_-1854013437"/>
            </w:placeholder>
            <w:date w:fullDate="2024-08-05T00:00:00Z">
              <w:dateFormat w:val="d MMMM yyyy"/>
              <w:lid w:val="en-AU"/>
              <w:storeMappedDataAs w:val="dateTime"/>
              <w:calendar w:val="gregorian"/>
            </w:date>
          </w:sdtPr>
          <w:sdtEndPr/>
          <w:sdtContent>
            <w:tc>
              <w:tcPr>
                <w:tcW w:w="7114" w:type="dxa"/>
                <w:shd w:val="clear" w:color="auto" w:fill="FFFFFF" w:themeFill="background1"/>
              </w:tcPr>
              <w:p w14:paraId="52C393C3" w14:textId="0295EC89" w:rsidR="00997797" w:rsidRPr="00996FAF" w:rsidRDefault="00BB5304"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5 August 2024</w:t>
                </w:r>
              </w:p>
            </w:tc>
          </w:sdtContent>
        </w:sdt>
      </w:tr>
      <w:tr w:rsidR="00DD6735" w14:paraId="55055B38" w14:textId="77777777" w:rsidTr="00DD6735">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61F43A4" w14:textId="77777777" w:rsidR="00997797" w:rsidRPr="00996FAF" w:rsidRDefault="008D3674"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3872B1B0" w14:textId="77777777" w:rsidR="00997797" w:rsidRPr="009B6303" w:rsidRDefault="008D367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2623 McLean Care Ltd </w:t>
            </w:r>
          </w:p>
          <w:p w14:paraId="23176EE0" w14:textId="77777777" w:rsidR="00997797" w:rsidRPr="009B6303" w:rsidRDefault="008D367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1128 McLean Care Mackellar Apex Campus</w:t>
            </w:r>
          </w:p>
        </w:tc>
      </w:tr>
    </w:tbl>
    <w:bookmarkEnd w:id="0"/>
    <w:p w14:paraId="49895700" w14:textId="77777777" w:rsidR="00997797" w:rsidRPr="00996FAF" w:rsidRDefault="008D3674"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4DB64CE" w14:textId="77777777" w:rsidR="00997797" w:rsidRPr="00996FAF" w:rsidRDefault="008D3674"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5FB70974" w14:textId="4C05C9E9" w:rsidR="00997797" w:rsidRPr="00996FAF" w:rsidRDefault="008D3674" w:rsidP="0036130C">
      <w:pPr>
        <w:pStyle w:val="NormalArial"/>
      </w:pPr>
      <w:r w:rsidRPr="00996FAF">
        <w:t xml:space="preserve">This performance report for </w:t>
      </w:r>
      <w:r w:rsidRPr="00C27BE3">
        <w:rPr>
          <w:color w:val="auto"/>
        </w:rPr>
        <w:t>McLean Care Mackellar Apex Campus</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C80EEB">
        <w:t>M.Wyborn</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0BF28016" w14:textId="77777777" w:rsidR="00997797" w:rsidRPr="00996FAF" w:rsidRDefault="008D3674"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1287068" w14:textId="77777777" w:rsidR="00997797" w:rsidRPr="00996FAF" w:rsidRDefault="008D3674" w:rsidP="0036130C">
      <w:pPr>
        <w:pStyle w:val="NormalArial"/>
      </w:pPr>
      <w:r w:rsidRPr="00996FAF">
        <w:t>The report also specifies any areas in which improvements must be made to ensure the Quality Standards are complied with.</w:t>
      </w:r>
    </w:p>
    <w:p w14:paraId="376D2A43" w14:textId="77777777" w:rsidR="00997797" w:rsidRPr="00996FAF" w:rsidRDefault="008D3674" w:rsidP="00712752">
      <w:pPr>
        <w:pStyle w:val="Heading1"/>
        <w:spacing w:before="240" w:after="240" w:line="22" w:lineRule="atLeast"/>
        <w:rPr>
          <w:rFonts w:ascii="Arial" w:hAnsi="Arial" w:cs="Arial"/>
        </w:rPr>
      </w:pPr>
      <w:r w:rsidRPr="00996FAF">
        <w:rPr>
          <w:rFonts w:ascii="Arial" w:hAnsi="Arial" w:cs="Arial"/>
        </w:rPr>
        <w:t>Material relied on</w:t>
      </w:r>
    </w:p>
    <w:p w14:paraId="71FB1624" w14:textId="77777777" w:rsidR="00997797" w:rsidRPr="00996FAF" w:rsidRDefault="008D3674" w:rsidP="0036130C">
      <w:pPr>
        <w:pStyle w:val="NormalArial"/>
      </w:pPr>
      <w:r w:rsidRPr="00996FAF">
        <w:t>The following information has been considered in preparing the performance report:</w:t>
      </w:r>
    </w:p>
    <w:p w14:paraId="488D600F" w14:textId="0B7D7A39" w:rsidR="00997797" w:rsidRPr="00C80EEB" w:rsidRDefault="008D3674"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 xml:space="preserve">Assessment </w:t>
      </w:r>
      <w:r w:rsidRPr="00C80EEB">
        <w:rPr>
          <w:rFonts w:ascii="Arial" w:hAnsi="Arial" w:cs="Arial"/>
          <w:color w:val="auto"/>
        </w:rPr>
        <w:t>contact (performance assessment) – site report was informed by a site assessment, observations at the service, review of documents and interviews with staff, consumers/representatives and others</w:t>
      </w:r>
      <w:r w:rsidR="00C80EEB" w:rsidRPr="00C80EEB">
        <w:rPr>
          <w:rFonts w:ascii="Arial" w:hAnsi="Arial" w:cs="Arial"/>
          <w:color w:val="auto"/>
        </w:rPr>
        <w:t>, and</w:t>
      </w:r>
    </w:p>
    <w:p w14:paraId="6EB5E75A" w14:textId="04686879" w:rsidR="00997797" w:rsidRPr="00156B99" w:rsidRDefault="008D3674" w:rsidP="00156B99">
      <w:pPr>
        <w:pStyle w:val="ListParagraph"/>
        <w:numPr>
          <w:ilvl w:val="0"/>
          <w:numId w:val="2"/>
        </w:numPr>
        <w:spacing w:line="240" w:lineRule="atLeast"/>
        <w:ind w:left="714" w:hanging="357"/>
        <w:contextualSpacing w:val="0"/>
        <w:rPr>
          <w:rFonts w:ascii="Arial" w:hAnsi="Arial" w:cs="Arial"/>
          <w:color w:val="FF0000"/>
        </w:rPr>
      </w:pPr>
      <w:r w:rsidRPr="00C80EEB">
        <w:rPr>
          <w:rFonts w:ascii="Arial" w:hAnsi="Arial" w:cs="Arial"/>
          <w:color w:val="auto"/>
        </w:rPr>
        <w:t xml:space="preserve">the provider’s response to the assessment team’s report received </w:t>
      </w:r>
      <w:r w:rsidR="00C80EEB" w:rsidRPr="00C80EEB">
        <w:rPr>
          <w:rFonts w:ascii="Arial" w:hAnsi="Arial" w:cs="Arial"/>
          <w:color w:val="auto"/>
        </w:rPr>
        <w:t>19 July 2024.</w:t>
      </w:r>
      <w:r w:rsidR="00C80EEB">
        <w:rPr>
          <w:rFonts w:ascii="Arial" w:hAnsi="Arial" w:cs="Arial"/>
          <w:color w:val="0000FF"/>
        </w:rPr>
        <w:t xml:space="preserve"> </w:t>
      </w:r>
      <w:r w:rsidRPr="00156B99">
        <w:rPr>
          <w:rFonts w:ascii="Arial" w:hAnsi="Arial" w:cs="Arial"/>
        </w:rPr>
        <w:br w:type="page"/>
      </w:r>
    </w:p>
    <w:p w14:paraId="53795577" w14:textId="77777777" w:rsidR="00997797" w:rsidRPr="00996FAF" w:rsidRDefault="008D3674"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DD6735" w14:paraId="4FE0B791" w14:textId="77777777" w:rsidTr="00DD673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9871621" w14:textId="77777777" w:rsidR="00997797" w:rsidRPr="00996FAF" w:rsidRDefault="008D3674" w:rsidP="002C5FA9">
            <w:pPr>
              <w:keepNext/>
              <w:spacing w:before="0" w:line="22" w:lineRule="atLeast"/>
              <w:rPr>
                <w:rFonts w:ascii="Arial" w:hAnsi="Arial" w:cs="Arial"/>
              </w:rPr>
            </w:pPr>
            <w:r w:rsidRPr="00996FAF">
              <w:rPr>
                <w:rFonts w:ascii="Arial" w:hAnsi="Arial" w:cs="Arial"/>
              </w:rPr>
              <w:t>Standard 3</w:t>
            </w:r>
            <w:r w:rsidRPr="00996FAF">
              <w:rPr>
                <w:rFonts w:ascii="Arial" w:hAnsi="Arial" w:cs="Arial"/>
                <w:b w:val="0"/>
              </w:rPr>
              <w:t xml:space="preserve"> Personal care and clinical care</w:t>
            </w:r>
          </w:p>
        </w:tc>
        <w:tc>
          <w:tcPr>
            <w:tcW w:w="1175" w:type="pct"/>
            <w:shd w:val="clear" w:color="auto" w:fill="auto"/>
          </w:tcPr>
          <w:p w14:paraId="3E68A723" w14:textId="624C7761" w:rsidR="00997797" w:rsidRPr="002C5FA9" w:rsidRDefault="003E5721"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Pr>
                <w:rFonts w:ascii="Arial" w:hAnsi="Arial" w:cs="Arial"/>
                <w:bCs/>
              </w:rPr>
              <w:t xml:space="preserve">Not applicable as not all requirement were assessed. </w:t>
            </w:r>
          </w:p>
        </w:tc>
      </w:tr>
    </w:tbl>
    <w:p w14:paraId="7A8CAFE1" w14:textId="77777777" w:rsidR="00997797" w:rsidRPr="00996FAF" w:rsidRDefault="008D3674"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244464D" w14:textId="77777777" w:rsidR="00997797" w:rsidRPr="00996FAF" w:rsidRDefault="008D3674" w:rsidP="00712752">
      <w:pPr>
        <w:pStyle w:val="Heading1"/>
        <w:spacing w:before="0" w:after="240" w:line="22" w:lineRule="atLeast"/>
        <w:rPr>
          <w:rFonts w:ascii="Arial" w:hAnsi="Arial" w:cs="Arial"/>
        </w:rPr>
      </w:pPr>
      <w:r w:rsidRPr="00996FAF">
        <w:rPr>
          <w:rFonts w:ascii="Arial" w:hAnsi="Arial" w:cs="Arial"/>
        </w:rPr>
        <w:t>Areas for improvement</w:t>
      </w:r>
    </w:p>
    <w:p w14:paraId="6E7D0EA0" w14:textId="67F3F6B0" w:rsidR="00E7532E" w:rsidRPr="00996FAF" w:rsidRDefault="008D3674" w:rsidP="00E7532E">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44DDDFE2" w14:textId="53827817" w:rsidR="00997797" w:rsidRPr="00712752" w:rsidRDefault="008D3674" w:rsidP="0036130C">
      <w:pPr>
        <w:pStyle w:val="NormalArial"/>
      </w:pPr>
      <w:r w:rsidRPr="00996FAF">
        <w:br w:type="page"/>
      </w:r>
    </w:p>
    <w:p w14:paraId="61D84F29" w14:textId="77777777" w:rsidR="00997797" w:rsidRPr="00996FAF" w:rsidRDefault="008D3674"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DD6735" w14:paraId="47A9BCAB" w14:textId="77777777" w:rsidTr="00156B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4261CC55" w14:textId="77777777" w:rsidR="00997797" w:rsidRPr="00996FAF" w:rsidRDefault="008D3674"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3CE8BD0F" w14:textId="77777777" w:rsidR="00997797" w:rsidRPr="00996FAF" w:rsidRDefault="0099779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D6735" w14:paraId="2B596180" w14:textId="77777777" w:rsidTr="00DD673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3F2922" w14:textId="77777777" w:rsidR="00997797" w:rsidRPr="00996FAF" w:rsidRDefault="008D3674"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0419B374" w14:textId="77777777" w:rsidR="00997797" w:rsidRPr="00996FAF" w:rsidRDefault="008D367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69062229" w14:textId="0567A2D2" w:rsidR="00997797" w:rsidRPr="00996FAF" w:rsidRDefault="00DC6D9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89793906"/>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3E5721">
                  <w:rPr>
                    <w:rFonts w:ascii="Arial" w:hAnsi="Arial" w:cs="Arial"/>
                    <w:color w:val="auto"/>
                  </w:rPr>
                  <w:t>Compliant</w:t>
                </w:r>
              </w:sdtContent>
            </w:sdt>
          </w:p>
        </w:tc>
      </w:tr>
      <w:tr w:rsidR="00DD6735" w14:paraId="53EB3901" w14:textId="77777777" w:rsidTr="00DD67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EC1BF1B" w14:textId="77777777" w:rsidR="00997797" w:rsidRPr="00996FAF" w:rsidRDefault="008D3674"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29CD44AE" w14:textId="77777777" w:rsidR="00997797" w:rsidRPr="00996FAF" w:rsidRDefault="008D367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42D080D5" w14:textId="77777777" w:rsidR="00997797" w:rsidRPr="00996FAF" w:rsidRDefault="00DC6D92"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41447694"/>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8D3674" w:rsidRPr="002C2F15">
                  <w:rPr>
                    <w:rFonts w:ascii="Arial" w:hAnsi="Arial" w:cs="Arial"/>
                  </w:rPr>
                  <w:t>Compliant</w:t>
                </w:r>
              </w:sdtContent>
            </w:sdt>
          </w:p>
        </w:tc>
      </w:tr>
    </w:tbl>
    <w:p w14:paraId="45FDD4CC" w14:textId="77777777" w:rsidR="00997797" w:rsidRDefault="008D3674" w:rsidP="00D87E7C">
      <w:pPr>
        <w:pStyle w:val="Heading20"/>
      </w:pPr>
      <w:r w:rsidRPr="00996FAF">
        <w:t>Findings</w:t>
      </w:r>
    </w:p>
    <w:p w14:paraId="39107808" w14:textId="35770CA6" w:rsidR="009E706B" w:rsidRDefault="009D319C" w:rsidP="009E706B">
      <w:pPr>
        <w:pStyle w:val="NormalArial"/>
      </w:pPr>
      <w:r>
        <w:t>The</w:t>
      </w:r>
      <w:r w:rsidR="00787DF9">
        <w:t xml:space="preserve"> service demonstrated appropriate</w:t>
      </w:r>
      <w:r>
        <w:t xml:space="preserve"> policies and procedures to identify </w:t>
      </w:r>
      <w:r w:rsidR="00787DF9">
        <w:t xml:space="preserve">consumer </w:t>
      </w:r>
      <w:r>
        <w:t>risk</w:t>
      </w:r>
      <w:r w:rsidR="00787DF9">
        <w:t>(</w:t>
      </w:r>
      <w:r>
        <w:t>s</w:t>
      </w:r>
      <w:r w:rsidR="00787DF9">
        <w:t>)</w:t>
      </w:r>
      <w:r>
        <w:t xml:space="preserve"> and </w:t>
      </w:r>
      <w:r w:rsidR="00BD57CA">
        <w:t xml:space="preserve">to deliver effective </w:t>
      </w:r>
      <w:r>
        <w:t>care associated with these risks</w:t>
      </w:r>
      <w:r w:rsidR="00787DF9">
        <w:t>. T</w:t>
      </w:r>
      <w:r>
        <w:t xml:space="preserve">he Assessment Team </w:t>
      </w:r>
      <w:r w:rsidR="00787DF9">
        <w:t>reported, however,</w:t>
      </w:r>
      <w:r>
        <w:t xml:space="preserve"> deficits in</w:t>
      </w:r>
      <w:r w:rsidR="00787DF9">
        <w:t xml:space="preserve"> </w:t>
      </w:r>
      <w:r>
        <w:t xml:space="preserve">management of high impact or high prevalence risks associated with clinical oversight </w:t>
      </w:r>
      <w:r w:rsidR="00787DF9">
        <w:t>of consumer</w:t>
      </w:r>
      <w:r>
        <w:t xml:space="preserve"> wound</w:t>
      </w:r>
      <w:r w:rsidR="00787DF9">
        <w:t xml:space="preserve"> </w:t>
      </w:r>
      <w:r>
        <w:t>management, behaviour management including chemical restrictive practice,</w:t>
      </w:r>
      <w:r w:rsidR="00787DF9">
        <w:t xml:space="preserve"> </w:t>
      </w:r>
      <w:r>
        <w:t>catheter care management and potential choking risks. Management identified the</w:t>
      </w:r>
      <w:r w:rsidR="00787DF9">
        <w:t xml:space="preserve"> service’s</w:t>
      </w:r>
      <w:r>
        <w:t xml:space="preserve"> high impact high prevalence risks as behaviours, pressure injuries,</w:t>
      </w:r>
      <w:r w:rsidR="00787DF9">
        <w:t xml:space="preserve"> </w:t>
      </w:r>
      <w:r>
        <w:t>continence and malnutrition.</w:t>
      </w:r>
      <w:r w:rsidR="00787DF9">
        <w:t xml:space="preserve"> The Assessment Team reported </w:t>
      </w:r>
      <w:r>
        <w:t>a lack of timely identification of consumer</w:t>
      </w:r>
      <w:r w:rsidR="00787DF9">
        <w:t xml:space="preserve"> </w:t>
      </w:r>
      <w:r>
        <w:t>pressure injuries and or wounds</w:t>
      </w:r>
      <w:r w:rsidR="00787DF9">
        <w:t xml:space="preserve"> leading to delays in consumer </w:t>
      </w:r>
      <w:r>
        <w:t>wound management</w:t>
      </w:r>
      <w:r w:rsidR="00787DF9">
        <w:t xml:space="preserve">, and </w:t>
      </w:r>
      <w:r>
        <w:t>deficiencies in wound</w:t>
      </w:r>
      <w:r w:rsidR="00787DF9">
        <w:t xml:space="preserve"> </w:t>
      </w:r>
      <w:r>
        <w:t>documentation leading to possible inaccuracies in identifying wound deterioration</w:t>
      </w:r>
      <w:r w:rsidR="00787DF9">
        <w:t xml:space="preserve"> </w:t>
      </w:r>
      <w:r>
        <w:t xml:space="preserve">and optimising wound healing. </w:t>
      </w:r>
      <w:r w:rsidR="00787DF9">
        <w:t>Consumer b</w:t>
      </w:r>
      <w:r>
        <w:t>ehaviour management strategies were not</w:t>
      </w:r>
      <w:r w:rsidR="00787DF9">
        <w:t xml:space="preserve"> </w:t>
      </w:r>
      <w:r>
        <w:t xml:space="preserve">personalised to the needs of </w:t>
      </w:r>
      <w:r w:rsidR="00787DF9">
        <w:t>individual</w:t>
      </w:r>
      <w:r>
        <w:t xml:space="preserve"> consumers and</w:t>
      </w:r>
      <w:r w:rsidR="00BD57CA">
        <w:t>, in some cases,</w:t>
      </w:r>
      <w:r>
        <w:t xml:space="preserve"> staff relied on medication and the</w:t>
      </w:r>
      <w:r w:rsidR="00787DF9">
        <w:t xml:space="preserve"> </w:t>
      </w:r>
      <w:r>
        <w:t>use of chemical restrictive practice for management</w:t>
      </w:r>
      <w:r w:rsidR="00787DF9">
        <w:t xml:space="preserve"> and </w:t>
      </w:r>
      <w:r>
        <w:t>support of consumer</w:t>
      </w:r>
      <w:r w:rsidR="00787DF9">
        <w:t xml:space="preserve"> </w:t>
      </w:r>
      <w:r>
        <w:t xml:space="preserve">behaviours. </w:t>
      </w:r>
      <w:r w:rsidR="00787DF9">
        <w:t>The Assessment Team reported that consumer c</w:t>
      </w:r>
      <w:r>
        <w:t>atheter management was not well documented and was reactive to problems as they ar</w:t>
      </w:r>
      <w:r w:rsidR="00787DF9">
        <w:t>i</w:t>
      </w:r>
      <w:r>
        <w:t>se.</w:t>
      </w:r>
      <w:r w:rsidR="00980C55">
        <w:t xml:space="preserve"> In their response to the Assessment Contact Report, the Provider highlighted their </w:t>
      </w:r>
      <w:r w:rsidR="00980C55" w:rsidRPr="00980C55">
        <w:t>compliance posture</w:t>
      </w:r>
      <w:r w:rsidR="00980C55">
        <w:t xml:space="preserve"> which</w:t>
      </w:r>
      <w:r w:rsidR="00980C55" w:rsidRPr="00980C55">
        <w:t xml:space="preserve"> </w:t>
      </w:r>
      <w:r w:rsidR="00980C55">
        <w:t>focuses on</w:t>
      </w:r>
      <w:r w:rsidR="00980C55" w:rsidRPr="00980C55">
        <w:t xml:space="preserve"> exceeding the Aged Care Standards and is in line with </w:t>
      </w:r>
      <w:r w:rsidR="00980C55">
        <w:t>their</w:t>
      </w:r>
      <w:r w:rsidR="00980C55" w:rsidRPr="00980C55">
        <w:t xml:space="preserve"> commitment to excellence in all aspects of service delivery</w:t>
      </w:r>
      <w:r w:rsidR="009E706B">
        <w:t xml:space="preserve">. The Provider </w:t>
      </w:r>
      <w:r w:rsidR="00980C55">
        <w:t>supplied their corrective action plan</w:t>
      </w:r>
      <w:r w:rsidR="009E706B">
        <w:t xml:space="preserve"> and demonstrated immediate review of all consumers to ensure no unidentified wounds were present or developing. Consumer</w:t>
      </w:r>
      <w:r w:rsidR="00BD57CA">
        <w:t>s</w:t>
      </w:r>
      <w:r w:rsidR="009E706B">
        <w:t xml:space="preserve"> with active wounds were reviewed by senior clinical staff to ensure current wound status is correctly recorded and that appropriate wound interventions are established. The service delivered education for clinical and care staff on wound identification and management via toolbox talks. </w:t>
      </w:r>
    </w:p>
    <w:p w14:paraId="36305869" w14:textId="421D7E7B" w:rsidR="00EA4B4C" w:rsidRDefault="009E706B" w:rsidP="009E706B">
      <w:pPr>
        <w:pStyle w:val="NormalArial"/>
      </w:pPr>
      <w:r>
        <w:t>The service also administered immediate review of all consumer behaviour support plans to ensure personalised interventions are in place, and delivered related education for clinical and care staff. The service undertook immediate review of catheter care documentation and</w:t>
      </w:r>
      <w:r w:rsidR="00BD57CA">
        <w:t xml:space="preserve"> introduced</w:t>
      </w:r>
      <w:r>
        <w:t xml:space="preserve"> focus auditing and weekly oversight of a newly developed catheter change calendar with oversight by the Facility Manager. The service also demonstrated immediate review of all consumer swallowing and dietary assessments, immediate clinical review of all consumers to ensure no immediate risk as a result of ineffective assessment and care planning processes</w:t>
      </w:r>
      <w:r w:rsidR="00C3112B">
        <w:t xml:space="preserve"> or documentation</w:t>
      </w:r>
      <w:r>
        <w:t xml:space="preserve">. </w:t>
      </w:r>
      <w:r w:rsidR="00C3112B">
        <w:t xml:space="preserve">This included a </w:t>
      </w:r>
      <w:r>
        <w:t>clinical review of all consumers to ensure no immediate risk to consumers due to poor oversight of PRN medication administration.</w:t>
      </w:r>
      <w:r w:rsidR="00C3112B">
        <w:t xml:space="preserve"> The service delivered </w:t>
      </w:r>
      <w:r>
        <w:t>staff education regarding PRN medication and associated documentation requirements</w:t>
      </w:r>
      <w:r w:rsidR="00C3112B">
        <w:t>, and i</w:t>
      </w:r>
      <w:r>
        <w:t>ntroduc</w:t>
      </w:r>
      <w:r w:rsidR="00C3112B">
        <w:t xml:space="preserve">ed a </w:t>
      </w:r>
      <w:r>
        <w:t>daily PRN focus audit to track PRN administration and ensure appropriate follow up and documentation.</w:t>
      </w:r>
      <w:r w:rsidR="00EA4B4C" w:rsidRPr="00EA4B4C">
        <w:t xml:space="preserve"> I acknowledge the actions taken to ensure compliance against the Aged Care Quality Standards, and at this time I provide greater weight to the Provider’s response in relation to </w:t>
      </w:r>
      <w:r w:rsidR="00EA4B4C">
        <w:t>e</w:t>
      </w:r>
      <w:r w:rsidR="00EA4B4C" w:rsidRPr="00EA4B4C">
        <w:t xml:space="preserve">ffective management of high impact or high prevalence risks. As such, my decision differs from the Assessment Team’s recommendation and I find the service compliant in Requirement </w:t>
      </w:r>
      <w:r w:rsidR="00EA4B4C">
        <w:t>3</w:t>
      </w:r>
      <w:r w:rsidR="00EA4B4C" w:rsidRPr="00EA4B4C">
        <w:t>(3)(</w:t>
      </w:r>
      <w:r w:rsidR="00EA4B4C">
        <w:t>b</w:t>
      </w:r>
      <w:r w:rsidR="00EA4B4C" w:rsidRPr="00EA4B4C">
        <w:t>).</w:t>
      </w:r>
    </w:p>
    <w:p w14:paraId="17EA8ADC" w14:textId="3252735C" w:rsidR="00EA4B4C" w:rsidRDefault="00EA4B4C" w:rsidP="00EA4B4C">
      <w:pPr>
        <w:pStyle w:val="NormalArial"/>
      </w:pPr>
      <w:r>
        <w:lastRenderedPageBreak/>
        <w:t xml:space="preserve">The service demonstrated consumers who have experienced deterioration or a change in their cognition, function and or mental health have their needs recognised and responded to in a timely manner. The service administers an appropriate consumer deterioration procedure, which provides guidance to staff in relation to their responsibilities. Registered nursing staff liaise with clinical management </w:t>
      </w:r>
      <w:r w:rsidR="00BD57CA">
        <w:t>as well as</w:t>
      </w:r>
      <w:r>
        <w:t xml:space="preserve"> the consumer’s medical officer when a consumer’s condition deteriorates. The service </w:t>
      </w:r>
      <w:r w:rsidR="00BD57CA" w:rsidRPr="00BD57CA">
        <w:t xml:space="preserve">consistently </w:t>
      </w:r>
      <w:r>
        <w:t xml:space="preserve">demonstrated that relevant communication and consultation with the consumer and their representative occurs when a consumer’s condition changes or deteriorates. The Assessment Team reported that consumer care planning documentation and progress notes appropriately and consistently reflect identification and response to consumer deterioration, including changes in function, capacity and or condition. As such, </w:t>
      </w:r>
      <w:r w:rsidRPr="00EA4B4C">
        <w:t>I find the service compliant in Requirement 3(3)(</w:t>
      </w:r>
      <w:r>
        <w:t>d</w:t>
      </w:r>
      <w:r w:rsidRPr="00EA4B4C">
        <w:t>).</w:t>
      </w:r>
    </w:p>
    <w:p w14:paraId="71581291" w14:textId="77BC8FEE" w:rsidR="00997797" w:rsidRPr="00262C0B" w:rsidRDefault="00EA4B4C" w:rsidP="009E706B">
      <w:pPr>
        <w:pStyle w:val="NormalArial"/>
      </w:pPr>
      <w:r w:rsidRPr="00EA4B4C">
        <w:t xml:space="preserve">  </w:t>
      </w:r>
    </w:p>
    <w:sectPr w:rsidR="00997797" w:rsidRPr="00262C0B"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B3F1319" w14:textId="77777777" w:rsidR="009F174F" w:rsidRDefault="009F174F">
      <w:pPr>
        <w:spacing w:after="0"/>
      </w:pPr>
      <w:r>
        <w:separator/>
      </w:r>
    </w:p>
  </w:endnote>
  <w:endnote w:type="continuationSeparator" w:id="0">
    <w:p w14:paraId="4948D2EC" w14:textId="77777777" w:rsidR="009F174F" w:rsidRDefault="009F174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D7B303" w14:textId="77777777" w:rsidR="00997797" w:rsidRPr="00DF37F2" w:rsidRDefault="008D3674"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McLean Care Mackellar Apex Campus</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46FB4FCF" w14:textId="77777777" w:rsidR="00997797" w:rsidRPr="00DF37F2" w:rsidRDefault="008D3674"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2773</w:t>
    </w:r>
    <w:bookmarkEnd w:id="1"/>
    <w:r w:rsidRPr="00DF37F2">
      <w:rPr>
        <w:rStyle w:val="FooterBold"/>
        <w:rFonts w:ascii="Arial" w:hAnsi="Arial"/>
        <w:b w:val="0"/>
      </w:rPr>
      <w:tab/>
      <w:t xml:space="preserve">OFFICIAL: Sensitive </w:t>
    </w:r>
  </w:p>
  <w:p w14:paraId="32318A3F" w14:textId="77777777" w:rsidR="00997797" w:rsidRPr="00DF37F2" w:rsidRDefault="008D3674"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77107D" w14:textId="77777777" w:rsidR="00997797" w:rsidRDefault="00997797"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0BDFC43" w14:textId="77777777" w:rsidR="009F174F" w:rsidRDefault="009F174F" w:rsidP="00D71F88">
      <w:pPr>
        <w:spacing w:after="0"/>
      </w:pPr>
      <w:r>
        <w:separator/>
      </w:r>
    </w:p>
  </w:footnote>
  <w:footnote w:type="continuationSeparator" w:id="0">
    <w:p w14:paraId="16986DAF" w14:textId="77777777" w:rsidR="009F174F" w:rsidRDefault="009F174F" w:rsidP="00D71F88">
      <w:pPr>
        <w:spacing w:after="0"/>
      </w:pPr>
      <w:r>
        <w:continuationSeparator/>
      </w:r>
    </w:p>
  </w:footnote>
  <w:footnote w:id="1">
    <w:p w14:paraId="224C03CD" w14:textId="6995A996" w:rsidR="00997797" w:rsidRDefault="008D3674"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156B99">
        <w:rPr>
          <w:rFonts w:ascii="Arial" w:hAnsi="Arial" w:cs="Arial"/>
          <w:color w:val="auto"/>
          <w:sz w:val="20"/>
          <w:szCs w:val="20"/>
        </w:rPr>
        <w:t>section 68A</w:t>
      </w:r>
      <w:r w:rsidRPr="00156B99">
        <w:rPr>
          <w:rFonts w:ascii="Arial" w:hAnsi="Arial" w:cs="Arial"/>
          <w:b/>
          <w:color w:val="auto"/>
          <w:sz w:val="20"/>
          <w:szCs w:val="20"/>
        </w:rPr>
        <w:t xml:space="preserve"> </w:t>
      </w:r>
      <w:r w:rsidRPr="00156B99">
        <w:rPr>
          <w:rFonts w:ascii="Arial" w:hAnsi="Arial" w:cs="Arial"/>
          <w:color w:val="auto"/>
          <w:sz w:val="20"/>
          <w:szCs w:val="20"/>
        </w:rPr>
        <w:t>of</w:t>
      </w:r>
      <w:r w:rsidRPr="00443CA4">
        <w:rPr>
          <w:rFonts w:ascii="Arial" w:hAnsi="Arial" w:cs="Arial"/>
          <w:sz w:val="20"/>
          <w:szCs w:val="20"/>
        </w:rPr>
        <w:t xml:space="preserve"> the Aged Care Quality and Safety Commission Rules 2018.</w:t>
      </w:r>
    </w:p>
    <w:p w14:paraId="593AA26B" w14:textId="77777777" w:rsidR="00997797" w:rsidRDefault="00997797"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EC9BCB" w14:textId="77777777" w:rsidR="00997797" w:rsidRDefault="008D3674">
    <w:pPr>
      <w:pStyle w:val="Header"/>
    </w:pPr>
    <w:r>
      <w:rPr>
        <w:noProof/>
        <w:color w:val="2B579A"/>
        <w:shd w:val="clear" w:color="auto" w:fill="E6E6E6"/>
        <w:lang w:val="en-US"/>
      </w:rPr>
      <w:drawing>
        <wp:anchor distT="0" distB="0" distL="114300" distR="114300" simplePos="0" relativeHeight="251658241" behindDoc="1" locked="0" layoutInCell="1" allowOverlap="1" wp14:anchorId="64B3FE39" wp14:editId="682CB1BD">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6C9419" w14:textId="77777777" w:rsidR="00997797" w:rsidRDefault="008D3674">
    <w:pPr>
      <w:pStyle w:val="Header"/>
    </w:pPr>
    <w:r>
      <w:rPr>
        <w:noProof/>
      </w:rPr>
      <w:drawing>
        <wp:anchor distT="0" distB="0" distL="114300" distR="114300" simplePos="0" relativeHeight="251658240" behindDoc="0" locked="0" layoutInCell="1" allowOverlap="1" wp14:anchorId="15AB821E" wp14:editId="6FAB864C">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E0DAAE6E">
      <w:start w:val="1"/>
      <w:numFmt w:val="lowerRoman"/>
      <w:lvlText w:val="(%1)"/>
      <w:lvlJc w:val="left"/>
      <w:pPr>
        <w:ind w:left="1080" w:hanging="720"/>
      </w:pPr>
      <w:rPr>
        <w:rFonts w:hint="default"/>
      </w:rPr>
    </w:lvl>
    <w:lvl w:ilvl="1" w:tplc="557A96E6" w:tentative="1">
      <w:start w:val="1"/>
      <w:numFmt w:val="lowerLetter"/>
      <w:lvlText w:val="%2."/>
      <w:lvlJc w:val="left"/>
      <w:pPr>
        <w:ind w:left="1440" w:hanging="360"/>
      </w:pPr>
    </w:lvl>
    <w:lvl w:ilvl="2" w:tplc="8F6A67BE" w:tentative="1">
      <w:start w:val="1"/>
      <w:numFmt w:val="lowerRoman"/>
      <w:lvlText w:val="%3."/>
      <w:lvlJc w:val="right"/>
      <w:pPr>
        <w:ind w:left="2160" w:hanging="180"/>
      </w:pPr>
    </w:lvl>
    <w:lvl w:ilvl="3" w:tplc="44C82528" w:tentative="1">
      <w:start w:val="1"/>
      <w:numFmt w:val="decimal"/>
      <w:lvlText w:val="%4."/>
      <w:lvlJc w:val="left"/>
      <w:pPr>
        <w:ind w:left="2880" w:hanging="360"/>
      </w:pPr>
    </w:lvl>
    <w:lvl w:ilvl="4" w:tplc="B3CC5078" w:tentative="1">
      <w:start w:val="1"/>
      <w:numFmt w:val="lowerLetter"/>
      <w:lvlText w:val="%5."/>
      <w:lvlJc w:val="left"/>
      <w:pPr>
        <w:ind w:left="3600" w:hanging="360"/>
      </w:pPr>
    </w:lvl>
    <w:lvl w:ilvl="5" w:tplc="9FB6A170" w:tentative="1">
      <w:start w:val="1"/>
      <w:numFmt w:val="lowerRoman"/>
      <w:lvlText w:val="%6."/>
      <w:lvlJc w:val="right"/>
      <w:pPr>
        <w:ind w:left="4320" w:hanging="180"/>
      </w:pPr>
    </w:lvl>
    <w:lvl w:ilvl="6" w:tplc="DDA6C4EA" w:tentative="1">
      <w:start w:val="1"/>
      <w:numFmt w:val="decimal"/>
      <w:lvlText w:val="%7."/>
      <w:lvlJc w:val="left"/>
      <w:pPr>
        <w:ind w:left="5040" w:hanging="360"/>
      </w:pPr>
    </w:lvl>
    <w:lvl w:ilvl="7" w:tplc="0248E782" w:tentative="1">
      <w:start w:val="1"/>
      <w:numFmt w:val="lowerLetter"/>
      <w:lvlText w:val="%8."/>
      <w:lvlJc w:val="left"/>
      <w:pPr>
        <w:ind w:left="5760" w:hanging="360"/>
      </w:pPr>
    </w:lvl>
    <w:lvl w:ilvl="8" w:tplc="09904DFC"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EE40B460">
      <w:start w:val="1"/>
      <w:numFmt w:val="lowerRoman"/>
      <w:lvlText w:val="(%1)"/>
      <w:lvlJc w:val="left"/>
      <w:pPr>
        <w:ind w:left="1080" w:hanging="720"/>
      </w:pPr>
      <w:rPr>
        <w:rFonts w:hint="default"/>
      </w:rPr>
    </w:lvl>
    <w:lvl w:ilvl="1" w:tplc="5D74B528" w:tentative="1">
      <w:start w:val="1"/>
      <w:numFmt w:val="lowerLetter"/>
      <w:lvlText w:val="%2."/>
      <w:lvlJc w:val="left"/>
      <w:pPr>
        <w:ind w:left="1440" w:hanging="360"/>
      </w:pPr>
    </w:lvl>
    <w:lvl w:ilvl="2" w:tplc="3B5ECEB0" w:tentative="1">
      <w:start w:val="1"/>
      <w:numFmt w:val="lowerRoman"/>
      <w:lvlText w:val="%3."/>
      <w:lvlJc w:val="right"/>
      <w:pPr>
        <w:ind w:left="2160" w:hanging="180"/>
      </w:pPr>
    </w:lvl>
    <w:lvl w:ilvl="3" w:tplc="C76E55B6" w:tentative="1">
      <w:start w:val="1"/>
      <w:numFmt w:val="decimal"/>
      <w:lvlText w:val="%4."/>
      <w:lvlJc w:val="left"/>
      <w:pPr>
        <w:ind w:left="2880" w:hanging="360"/>
      </w:pPr>
    </w:lvl>
    <w:lvl w:ilvl="4" w:tplc="A4361CF0" w:tentative="1">
      <w:start w:val="1"/>
      <w:numFmt w:val="lowerLetter"/>
      <w:lvlText w:val="%5."/>
      <w:lvlJc w:val="left"/>
      <w:pPr>
        <w:ind w:left="3600" w:hanging="360"/>
      </w:pPr>
    </w:lvl>
    <w:lvl w:ilvl="5" w:tplc="9F3093B4" w:tentative="1">
      <w:start w:val="1"/>
      <w:numFmt w:val="lowerRoman"/>
      <w:lvlText w:val="%6."/>
      <w:lvlJc w:val="right"/>
      <w:pPr>
        <w:ind w:left="4320" w:hanging="180"/>
      </w:pPr>
    </w:lvl>
    <w:lvl w:ilvl="6" w:tplc="F7AE9842" w:tentative="1">
      <w:start w:val="1"/>
      <w:numFmt w:val="decimal"/>
      <w:lvlText w:val="%7."/>
      <w:lvlJc w:val="left"/>
      <w:pPr>
        <w:ind w:left="5040" w:hanging="360"/>
      </w:pPr>
    </w:lvl>
    <w:lvl w:ilvl="7" w:tplc="AA86726A" w:tentative="1">
      <w:start w:val="1"/>
      <w:numFmt w:val="lowerLetter"/>
      <w:lvlText w:val="%8."/>
      <w:lvlJc w:val="left"/>
      <w:pPr>
        <w:ind w:left="5760" w:hanging="360"/>
      </w:pPr>
    </w:lvl>
    <w:lvl w:ilvl="8" w:tplc="E8E8B2A6"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41A2557E">
      <w:start w:val="1"/>
      <w:numFmt w:val="lowerRoman"/>
      <w:lvlText w:val="(%1)"/>
      <w:lvlJc w:val="left"/>
      <w:pPr>
        <w:ind w:left="1080" w:hanging="720"/>
      </w:pPr>
      <w:rPr>
        <w:rFonts w:hint="default"/>
      </w:rPr>
    </w:lvl>
    <w:lvl w:ilvl="1" w:tplc="339A1C56" w:tentative="1">
      <w:start w:val="1"/>
      <w:numFmt w:val="lowerLetter"/>
      <w:lvlText w:val="%2."/>
      <w:lvlJc w:val="left"/>
      <w:pPr>
        <w:ind w:left="1440" w:hanging="360"/>
      </w:pPr>
    </w:lvl>
    <w:lvl w:ilvl="2" w:tplc="7DE8BD68" w:tentative="1">
      <w:start w:val="1"/>
      <w:numFmt w:val="lowerRoman"/>
      <w:lvlText w:val="%3."/>
      <w:lvlJc w:val="right"/>
      <w:pPr>
        <w:ind w:left="2160" w:hanging="180"/>
      </w:pPr>
    </w:lvl>
    <w:lvl w:ilvl="3" w:tplc="D5469EA6" w:tentative="1">
      <w:start w:val="1"/>
      <w:numFmt w:val="decimal"/>
      <w:lvlText w:val="%4."/>
      <w:lvlJc w:val="left"/>
      <w:pPr>
        <w:ind w:left="2880" w:hanging="360"/>
      </w:pPr>
    </w:lvl>
    <w:lvl w:ilvl="4" w:tplc="B9D2388C" w:tentative="1">
      <w:start w:val="1"/>
      <w:numFmt w:val="lowerLetter"/>
      <w:lvlText w:val="%5."/>
      <w:lvlJc w:val="left"/>
      <w:pPr>
        <w:ind w:left="3600" w:hanging="360"/>
      </w:pPr>
    </w:lvl>
    <w:lvl w:ilvl="5" w:tplc="D7706662" w:tentative="1">
      <w:start w:val="1"/>
      <w:numFmt w:val="lowerRoman"/>
      <w:lvlText w:val="%6."/>
      <w:lvlJc w:val="right"/>
      <w:pPr>
        <w:ind w:left="4320" w:hanging="180"/>
      </w:pPr>
    </w:lvl>
    <w:lvl w:ilvl="6" w:tplc="5E7AE206" w:tentative="1">
      <w:start w:val="1"/>
      <w:numFmt w:val="decimal"/>
      <w:lvlText w:val="%7."/>
      <w:lvlJc w:val="left"/>
      <w:pPr>
        <w:ind w:left="5040" w:hanging="360"/>
      </w:pPr>
    </w:lvl>
    <w:lvl w:ilvl="7" w:tplc="C04A792A" w:tentative="1">
      <w:start w:val="1"/>
      <w:numFmt w:val="lowerLetter"/>
      <w:lvlText w:val="%8."/>
      <w:lvlJc w:val="left"/>
      <w:pPr>
        <w:ind w:left="5760" w:hanging="360"/>
      </w:pPr>
    </w:lvl>
    <w:lvl w:ilvl="8" w:tplc="C0F28CB2"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6ECABA4A">
      <w:start w:val="1"/>
      <w:numFmt w:val="bullet"/>
      <w:lvlText w:val=""/>
      <w:lvlJc w:val="left"/>
      <w:pPr>
        <w:ind w:left="720" w:hanging="360"/>
      </w:pPr>
      <w:rPr>
        <w:rFonts w:ascii="Symbol" w:hAnsi="Symbol" w:hint="default"/>
        <w:color w:val="auto"/>
        <w:sz w:val="24"/>
        <w:szCs w:val="24"/>
      </w:rPr>
    </w:lvl>
    <w:lvl w:ilvl="1" w:tplc="36967268" w:tentative="1">
      <w:start w:val="1"/>
      <w:numFmt w:val="bullet"/>
      <w:lvlText w:val="o"/>
      <w:lvlJc w:val="left"/>
      <w:pPr>
        <w:ind w:left="1440" w:hanging="360"/>
      </w:pPr>
      <w:rPr>
        <w:rFonts w:ascii="Courier New" w:hAnsi="Courier New" w:cs="Courier New" w:hint="default"/>
      </w:rPr>
    </w:lvl>
    <w:lvl w:ilvl="2" w:tplc="6D408EFE" w:tentative="1">
      <w:start w:val="1"/>
      <w:numFmt w:val="bullet"/>
      <w:lvlText w:val=""/>
      <w:lvlJc w:val="left"/>
      <w:pPr>
        <w:ind w:left="2160" w:hanging="360"/>
      </w:pPr>
      <w:rPr>
        <w:rFonts w:ascii="Wingdings" w:hAnsi="Wingdings" w:hint="default"/>
      </w:rPr>
    </w:lvl>
    <w:lvl w:ilvl="3" w:tplc="1B4457FA" w:tentative="1">
      <w:start w:val="1"/>
      <w:numFmt w:val="bullet"/>
      <w:lvlText w:val=""/>
      <w:lvlJc w:val="left"/>
      <w:pPr>
        <w:ind w:left="2880" w:hanging="360"/>
      </w:pPr>
      <w:rPr>
        <w:rFonts w:ascii="Symbol" w:hAnsi="Symbol" w:hint="default"/>
      </w:rPr>
    </w:lvl>
    <w:lvl w:ilvl="4" w:tplc="748ED9B4" w:tentative="1">
      <w:start w:val="1"/>
      <w:numFmt w:val="bullet"/>
      <w:lvlText w:val="o"/>
      <w:lvlJc w:val="left"/>
      <w:pPr>
        <w:ind w:left="3600" w:hanging="360"/>
      </w:pPr>
      <w:rPr>
        <w:rFonts w:ascii="Courier New" w:hAnsi="Courier New" w:cs="Courier New" w:hint="default"/>
      </w:rPr>
    </w:lvl>
    <w:lvl w:ilvl="5" w:tplc="76E82736" w:tentative="1">
      <w:start w:val="1"/>
      <w:numFmt w:val="bullet"/>
      <w:lvlText w:val=""/>
      <w:lvlJc w:val="left"/>
      <w:pPr>
        <w:ind w:left="4320" w:hanging="360"/>
      </w:pPr>
      <w:rPr>
        <w:rFonts w:ascii="Wingdings" w:hAnsi="Wingdings" w:hint="default"/>
      </w:rPr>
    </w:lvl>
    <w:lvl w:ilvl="6" w:tplc="D00CFA72" w:tentative="1">
      <w:start w:val="1"/>
      <w:numFmt w:val="bullet"/>
      <w:lvlText w:val=""/>
      <w:lvlJc w:val="left"/>
      <w:pPr>
        <w:ind w:left="5040" w:hanging="360"/>
      </w:pPr>
      <w:rPr>
        <w:rFonts w:ascii="Symbol" w:hAnsi="Symbol" w:hint="default"/>
      </w:rPr>
    </w:lvl>
    <w:lvl w:ilvl="7" w:tplc="A1B07DD0" w:tentative="1">
      <w:start w:val="1"/>
      <w:numFmt w:val="bullet"/>
      <w:lvlText w:val="o"/>
      <w:lvlJc w:val="left"/>
      <w:pPr>
        <w:ind w:left="5760" w:hanging="360"/>
      </w:pPr>
      <w:rPr>
        <w:rFonts w:ascii="Courier New" w:hAnsi="Courier New" w:cs="Courier New" w:hint="default"/>
      </w:rPr>
    </w:lvl>
    <w:lvl w:ilvl="8" w:tplc="26807542"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C038CD98">
      <w:start w:val="1"/>
      <w:numFmt w:val="lowerRoman"/>
      <w:lvlText w:val="(%1)"/>
      <w:lvlJc w:val="left"/>
      <w:pPr>
        <w:ind w:left="1080" w:hanging="720"/>
      </w:pPr>
      <w:rPr>
        <w:rFonts w:hint="default"/>
      </w:rPr>
    </w:lvl>
    <w:lvl w:ilvl="1" w:tplc="DF4C1DB2" w:tentative="1">
      <w:start w:val="1"/>
      <w:numFmt w:val="lowerLetter"/>
      <w:lvlText w:val="%2."/>
      <w:lvlJc w:val="left"/>
      <w:pPr>
        <w:ind w:left="1440" w:hanging="360"/>
      </w:pPr>
    </w:lvl>
    <w:lvl w:ilvl="2" w:tplc="930E1016" w:tentative="1">
      <w:start w:val="1"/>
      <w:numFmt w:val="lowerRoman"/>
      <w:lvlText w:val="%3."/>
      <w:lvlJc w:val="right"/>
      <w:pPr>
        <w:ind w:left="2160" w:hanging="180"/>
      </w:pPr>
    </w:lvl>
    <w:lvl w:ilvl="3" w:tplc="A36A9324" w:tentative="1">
      <w:start w:val="1"/>
      <w:numFmt w:val="decimal"/>
      <w:lvlText w:val="%4."/>
      <w:lvlJc w:val="left"/>
      <w:pPr>
        <w:ind w:left="2880" w:hanging="360"/>
      </w:pPr>
    </w:lvl>
    <w:lvl w:ilvl="4" w:tplc="721029C6" w:tentative="1">
      <w:start w:val="1"/>
      <w:numFmt w:val="lowerLetter"/>
      <w:lvlText w:val="%5."/>
      <w:lvlJc w:val="left"/>
      <w:pPr>
        <w:ind w:left="3600" w:hanging="360"/>
      </w:pPr>
    </w:lvl>
    <w:lvl w:ilvl="5" w:tplc="067E6B98" w:tentative="1">
      <w:start w:val="1"/>
      <w:numFmt w:val="lowerRoman"/>
      <w:lvlText w:val="%6."/>
      <w:lvlJc w:val="right"/>
      <w:pPr>
        <w:ind w:left="4320" w:hanging="180"/>
      </w:pPr>
    </w:lvl>
    <w:lvl w:ilvl="6" w:tplc="3C8C3406" w:tentative="1">
      <w:start w:val="1"/>
      <w:numFmt w:val="decimal"/>
      <w:lvlText w:val="%7."/>
      <w:lvlJc w:val="left"/>
      <w:pPr>
        <w:ind w:left="5040" w:hanging="360"/>
      </w:pPr>
    </w:lvl>
    <w:lvl w:ilvl="7" w:tplc="43C43B4C" w:tentative="1">
      <w:start w:val="1"/>
      <w:numFmt w:val="lowerLetter"/>
      <w:lvlText w:val="%8."/>
      <w:lvlJc w:val="left"/>
      <w:pPr>
        <w:ind w:left="5760" w:hanging="360"/>
      </w:pPr>
    </w:lvl>
    <w:lvl w:ilvl="8" w:tplc="5A48EAF6"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75EEB924">
      <w:start w:val="1"/>
      <w:numFmt w:val="lowerRoman"/>
      <w:lvlText w:val="(%1)"/>
      <w:lvlJc w:val="left"/>
      <w:pPr>
        <w:ind w:left="1080" w:hanging="720"/>
      </w:pPr>
      <w:rPr>
        <w:rFonts w:hint="default"/>
      </w:rPr>
    </w:lvl>
    <w:lvl w:ilvl="1" w:tplc="2CCE40A2" w:tentative="1">
      <w:start w:val="1"/>
      <w:numFmt w:val="lowerLetter"/>
      <w:lvlText w:val="%2."/>
      <w:lvlJc w:val="left"/>
      <w:pPr>
        <w:ind w:left="1440" w:hanging="360"/>
      </w:pPr>
    </w:lvl>
    <w:lvl w:ilvl="2" w:tplc="D13C7D5A" w:tentative="1">
      <w:start w:val="1"/>
      <w:numFmt w:val="lowerRoman"/>
      <w:lvlText w:val="%3."/>
      <w:lvlJc w:val="right"/>
      <w:pPr>
        <w:ind w:left="2160" w:hanging="180"/>
      </w:pPr>
    </w:lvl>
    <w:lvl w:ilvl="3" w:tplc="535A217C" w:tentative="1">
      <w:start w:val="1"/>
      <w:numFmt w:val="decimal"/>
      <w:lvlText w:val="%4."/>
      <w:lvlJc w:val="left"/>
      <w:pPr>
        <w:ind w:left="2880" w:hanging="360"/>
      </w:pPr>
    </w:lvl>
    <w:lvl w:ilvl="4" w:tplc="1A6C131A" w:tentative="1">
      <w:start w:val="1"/>
      <w:numFmt w:val="lowerLetter"/>
      <w:lvlText w:val="%5."/>
      <w:lvlJc w:val="left"/>
      <w:pPr>
        <w:ind w:left="3600" w:hanging="360"/>
      </w:pPr>
    </w:lvl>
    <w:lvl w:ilvl="5" w:tplc="10DE91D2" w:tentative="1">
      <w:start w:val="1"/>
      <w:numFmt w:val="lowerRoman"/>
      <w:lvlText w:val="%6."/>
      <w:lvlJc w:val="right"/>
      <w:pPr>
        <w:ind w:left="4320" w:hanging="180"/>
      </w:pPr>
    </w:lvl>
    <w:lvl w:ilvl="6" w:tplc="C5FE2AA4" w:tentative="1">
      <w:start w:val="1"/>
      <w:numFmt w:val="decimal"/>
      <w:lvlText w:val="%7."/>
      <w:lvlJc w:val="left"/>
      <w:pPr>
        <w:ind w:left="5040" w:hanging="360"/>
      </w:pPr>
    </w:lvl>
    <w:lvl w:ilvl="7" w:tplc="2B081B26" w:tentative="1">
      <w:start w:val="1"/>
      <w:numFmt w:val="lowerLetter"/>
      <w:lvlText w:val="%8."/>
      <w:lvlJc w:val="left"/>
      <w:pPr>
        <w:ind w:left="5760" w:hanging="360"/>
      </w:pPr>
    </w:lvl>
    <w:lvl w:ilvl="8" w:tplc="D4AC4DA8"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0BDAE446">
      <w:start w:val="1"/>
      <w:numFmt w:val="lowerRoman"/>
      <w:lvlText w:val="(%1)"/>
      <w:lvlJc w:val="left"/>
      <w:pPr>
        <w:ind w:left="1080" w:hanging="720"/>
      </w:pPr>
      <w:rPr>
        <w:rFonts w:hint="default"/>
      </w:rPr>
    </w:lvl>
    <w:lvl w:ilvl="1" w:tplc="F0FA69A0" w:tentative="1">
      <w:start w:val="1"/>
      <w:numFmt w:val="lowerLetter"/>
      <w:lvlText w:val="%2."/>
      <w:lvlJc w:val="left"/>
      <w:pPr>
        <w:ind w:left="1440" w:hanging="360"/>
      </w:pPr>
    </w:lvl>
    <w:lvl w:ilvl="2" w:tplc="9D44E800" w:tentative="1">
      <w:start w:val="1"/>
      <w:numFmt w:val="lowerRoman"/>
      <w:lvlText w:val="%3."/>
      <w:lvlJc w:val="right"/>
      <w:pPr>
        <w:ind w:left="2160" w:hanging="180"/>
      </w:pPr>
    </w:lvl>
    <w:lvl w:ilvl="3" w:tplc="04D47096" w:tentative="1">
      <w:start w:val="1"/>
      <w:numFmt w:val="decimal"/>
      <w:lvlText w:val="%4."/>
      <w:lvlJc w:val="left"/>
      <w:pPr>
        <w:ind w:left="2880" w:hanging="360"/>
      </w:pPr>
    </w:lvl>
    <w:lvl w:ilvl="4" w:tplc="9D4283D0" w:tentative="1">
      <w:start w:val="1"/>
      <w:numFmt w:val="lowerLetter"/>
      <w:lvlText w:val="%5."/>
      <w:lvlJc w:val="left"/>
      <w:pPr>
        <w:ind w:left="3600" w:hanging="360"/>
      </w:pPr>
    </w:lvl>
    <w:lvl w:ilvl="5" w:tplc="5C3CEA9C" w:tentative="1">
      <w:start w:val="1"/>
      <w:numFmt w:val="lowerRoman"/>
      <w:lvlText w:val="%6."/>
      <w:lvlJc w:val="right"/>
      <w:pPr>
        <w:ind w:left="4320" w:hanging="180"/>
      </w:pPr>
    </w:lvl>
    <w:lvl w:ilvl="6" w:tplc="EED4EC86" w:tentative="1">
      <w:start w:val="1"/>
      <w:numFmt w:val="decimal"/>
      <w:lvlText w:val="%7."/>
      <w:lvlJc w:val="left"/>
      <w:pPr>
        <w:ind w:left="5040" w:hanging="360"/>
      </w:pPr>
    </w:lvl>
    <w:lvl w:ilvl="7" w:tplc="8CECBE5A" w:tentative="1">
      <w:start w:val="1"/>
      <w:numFmt w:val="lowerLetter"/>
      <w:lvlText w:val="%8."/>
      <w:lvlJc w:val="left"/>
      <w:pPr>
        <w:ind w:left="5760" w:hanging="360"/>
      </w:pPr>
    </w:lvl>
    <w:lvl w:ilvl="8" w:tplc="1940041E"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CEF4DE04">
      <w:start w:val="1"/>
      <w:numFmt w:val="lowerRoman"/>
      <w:lvlText w:val="(%1)"/>
      <w:lvlJc w:val="left"/>
      <w:pPr>
        <w:ind w:left="1080" w:hanging="720"/>
      </w:pPr>
      <w:rPr>
        <w:rFonts w:hint="default"/>
      </w:rPr>
    </w:lvl>
    <w:lvl w:ilvl="1" w:tplc="E6EC9E3E" w:tentative="1">
      <w:start w:val="1"/>
      <w:numFmt w:val="lowerLetter"/>
      <w:lvlText w:val="%2."/>
      <w:lvlJc w:val="left"/>
      <w:pPr>
        <w:ind w:left="1440" w:hanging="360"/>
      </w:pPr>
    </w:lvl>
    <w:lvl w:ilvl="2" w:tplc="21CAA15A" w:tentative="1">
      <w:start w:val="1"/>
      <w:numFmt w:val="lowerRoman"/>
      <w:lvlText w:val="%3."/>
      <w:lvlJc w:val="right"/>
      <w:pPr>
        <w:ind w:left="2160" w:hanging="180"/>
      </w:pPr>
    </w:lvl>
    <w:lvl w:ilvl="3" w:tplc="8E3AC4AC" w:tentative="1">
      <w:start w:val="1"/>
      <w:numFmt w:val="decimal"/>
      <w:lvlText w:val="%4."/>
      <w:lvlJc w:val="left"/>
      <w:pPr>
        <w:ind w:left="2880" w:hanging="360"/>
      </w:pPr>
    </w:lvl>
    <w:lvl w:ilvl="4" w:tplc="88BAD96A" w:tentative="1">
      <w:start w:val="1"/>
      <w:numFmt w:val="lowerLetter"/>
      <w:lvlText w:val="%5."/>
      <w:lvlJc w:val="left"/>
      <w:pPr>
        <w:ind w:left="3600" w:hanging="360"/>
      </w:pPr>
    </w:lvl>
    <w:lvl w:ilvl="5" w:tplc="3058F2BA" w:tentative="1">
      <w:start w:val="1"/>
      <w:numFmt w:val="lowerRoman"/>
      <w:lvlText w:val="%6."/>
      <w:lvlJc w:val="right"/>
      <w:pPr>
        <w:ind w:left="4320" w:hanging="180"/>
      </w:pPr>
    </w:lvl>
    <w:lvl w:ilvl="6" w:tplc="60D412D8" w:tentative="1">
      <w:start w:val="1"/>
      <w:numFmt w:val="decimal"/>
      <w:lvlText w:val="%7."/>
      <w:lvlJc w:val="left"/>
      <w:pPr>
        <w:ind w:left="5040" w:hanging="360"/>
      </w:pPr>
    </w:lvl>
    <w:lvl w:ilvl="7" w:tplc="589A7E18" w:tentative="1">
      <w:start w:val="1"/>
      <w:numFmt w:val="lowerLetter"/>
      <w:lvlText w:val="%8."/>
      <w:lvlJc w:val="left"/>
      <w:pPr>
        <w:ind w:left="5760" w:hanging="360"/>
      </w:pPr>
    </w:lvl>
    <w:lvl w:ilvl="8" w:tplc="F0661318"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C62C08AC">
      <w:start w:val="1"/>
      <w:numFmt w:val="lowerRoman"/>
      <w:lvlText w:val="(%1)"/>
      <w:lvlJc w:val="left"/>
      <w:pPr>
        <w:ind w:left="1080" w:hanging="720"/>
      </w:pPr>
      <w:rPr>
        <w:rFonts w:hint="default"/>
      </w:rPr>
    </w:lvl>
    <w:lvl w:ilvl="1" w:tplc="FBBC23EC" w:tentative="1">
      <w:start w:val="1"/>
      <w:numFmt w:val="lowerLetter"/>
      <w:lvlText w:val="%2."/>
      <w:lvlJc w:val="left"/>
      <w:pPr>
        <w:ind w:left="1440" w:hanging="360"/>
      </w:pPr>
    </w:lvl>
    <w:lvl w:ilvl="2" w:tplc="7660CAB4" w:tentative="1">
      <w:start w:val="1"/>
      <w:numFmt w:val="lowerRoman"/>
      <w:lvlText w:val="%3."/>
      <w:lvlJc w:val="right"/>
      <w:pPr>
        <w:ind w:left="2160" w:hanging="180"/>
      </w:pPr>
    </w:lvl>
    <w:lvl w:ilvl="3" w:tplc="185021E0" w:tentative="1">
      <w:start w:val="1"/>
      <w:numFmt w:val="decimal"/>
      <w:lvlText w:val="%4."/>
      <w:lvlJc w:val="left"/>
      <w:pPr>
        <w:ind w:left="2880" w:hanging="360"/>
      </w:pPr>
    </w:lvl>
    <w:lvl w:ilvl="4" w:tplc="F4DEA54E" w:tentative="1">
      <w:start w:val="1"/>
      <w:numFmt w:val="lowerLetter"/>
      <w:lvlText w:val="%5."/>
      <w:lvlJc w:val="left"/>
      <w:pPr>
        <w:ind w:left="3600" w:hanging="360"/>
      </w:pPr>
    </w:lvl>
    <w:lvl w:ilvl="5" w:tplc="38F0BD1E" w:tentative="1">
      <w:start w:val="1"/>
      <w:numFmt w:val="lowerRoman"/>
      <w:lvlText w:val="%6."/>
      <w:lvlJc w:val="right"/>
      <w:pPr>
        <w:ind w:left="4320" w:hanging="180"/>
      </w:pPr>
    </w:lvl>
    <w:lvl w:ilvl="6" w:tplc="A5C26C4A" w:tentative="1">
      <w:start w:val="1"/>
      <w:numFmt w:val="decimal"/>
      <w:lvlText w:val="%7."/>
      <w:lvlJc w:val="left"/>
      <w:pPr>
        <w:ind w:left="5040" w:hanging="360"/>
      </w:pPr>
    </w:lvl>
    <w:lvl w:ilvl="7" w:tplc="D2405CB4" w:tentative="1">
      <w:start w:val="1"/>
      <w:numFmt w:val="lowerLetter"/>
      <w:lvlText w:val="%8."/>
      <w:lvlJc w:val="left"/>
      <w:pPr>
        <w:ind w:left="5760" w:hanging="360"/>
      </w:pPr>
    </w:lvl>
    <w:lvl w:ilvl="8" w:tplc="F524ED8C"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A514A15C">
      <w:start w:val="1"/>
      <w:numFmt w:val="lowerRoman"/>
      <w:lvlText w:val="(%1)"/>
      <w:lvlJc w:val="left"/>
      <w:pPr>
        <w:ind w:left="1080" w:hanging="720"/>
      </w:pPr>
      <w:rPr>
        <w:rFonts w:hint="default"/>
      </w:rPr>
    </w:lvl>
    <w:lvl w:ilvl="1" w:tplc="B5249552" w:tentative="1">
      <w:start w:val="1"/>
      <w:numFmt w:val="lowerLetter"/>
      <w:lvlText w:val="%2."/>
      <w:lvlJc w:val="left"/>
      <w:pPr>
        <w:ind w:left="1440" w:hanging="360"/>
      </w:pPr>
    </w:lvl>
    <w:lvl w:ilvl="2" w:tplc="0D642460" w:tentative="1">
      <w:start w:val="1"/>
      <w:numFmt w:val="lowerRoman"/>
      <w:lvlText w:val="%3."/>
      <w:lvlJc w:val="right"/>
      <w:pPr>
        <w:ind w:left="2160" w:hanging="180"/>
      </w:pPr>
    </w:lvl>
    <w:lvl w:ilvl="3" w:tplc="ECF0676A" w:tentative="1">
      <w:start w:val="1"/>
      <w:numFmt w:val="decimal"/>
      <w:lvlText w:val="%4."/>
      <w:lvlJc w:val="left"/>
      <w:pPr>
        <w:ind w:left="2880" w:hanging="360"/>
      </w:pPr>
    </w:lvl>
    <w:lvl w:ilvl="4" w:tplc="CAB654C2" w:tentative="1">
      <w:start w:val="1"/>
      <w:numFmt w:val="lowerLetter"/>
      <w:lvlText w:val="%5."/>
      <w:lvlJc w:val="left"/>
      <w:pPr>
        <w:ind w:left="3600" w:hanging="360"/>
      </w:pPr>
    </w:lvl>
    <w:lvl w:ilvl="5" w:tplc="25CAFC22" w:tentative="1">
      <w:start w:val="1"/>
      <w:numFmt w:val="lowerRoman"/>
      <w:lvlText w:val="%6."/>
      <w:lvlJc w:val="right"/>
      <w:pPr>
        <w:ind w:left="4320" w:hanging="180"/>
      </w:pPr>
    </w:lvl>
    <w:lvl w:ilvl="6" w:tplc="4392B75C" w:tentative="1">
      <w:start w:val="1"/>
      <w:numFmt w:val="decimal"/>
      <w:lvlText w:val="%7."/>
      <w:lvlJc w:val="left"/>
      <w:pPr>
        <w:ind w:left="5040" w:hanging="360"/>
      </w:pPr>
    </w:lvl>
    <w:lvl w:ilvl="7" w:tplc="FCDC1274" w:tentative="1">
      <w:start w:val="1"/>
      <w:numFmt w:val="lowerLetter"/>
      <w:lvlText w:val="%8."/>
      <w:lvlJc w:val="left"/>
      <w:pPr>
        <w:ind w:left="5760" w:hanging="360"/>
      </w:pPr>
    </w:lvl>
    <w:lvl w:ilvl="8" w:tplc="6C8EEB94"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779302967">
    <w:abstractNumId w:val="11"/>
  </w:num>
  <w:num w:numId="2" w16cid:durableId="1123307268">
    <w:abstractNumId w:val="4"/>
  </w:num>
  <w:num w:numId="3" w16cid:durableId="1092816053">
    <w:abstractNumId w:val="2"/>
  </w:num>
  <w:num w:numId="4" w16cid:durableId="1069613792">
    <w:abstractNumId w:val="7"/>
  </w:num>
  <w:num w:numId="5" w16cid:durableId="2119719405">
    <w:abstractNumId w:val="6"/>
  </w:num>
  <w:num w:numId="6" w16cid:durableId="1495145604">
    <w:abstractNumId w:val="1"/>
  </w:num>
  <w:num w:numId="7" w16cid:durableId="185027650">
    <w:abstractNumId w:val="9"/>
  </w:num>
  <w:num w:numId="8" w16cid:durableId="1636521146">
    <w:abstractNumId w:val="5"/>
  </w:num>
  <w:num w:numId="9" w16cid:durableId="1294024198">
    <w:abstractNumId w:val="8"/>
  </w:num>
  <w:num w:numId="10" w16cid:durableId="1743793683">
    <w:abstractNumId w:val="3"/>
  </w:num>
  <w:num w:numId="11" w16cid:durableId="788738557">
    <w:abstractNumId w:val="10"/>
  </w:num>
  <w:num w:numId="12" w16cid:durableId="678582471">
    <w:abstractNumId w:val="0"/>
  </w:num>
  <w:num w:numId="13" w16cid:durableId="901788584">
    <w:abstractNumId w:val="11"/>
  </w:num>
  <w:num w:numId="14" w16cid:durableId="11248344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6735"/>
    <w:rsid w:val="000D695E"/>
    <w:rsid w:val="00156B99"/>
    <w:rsid w:val="003E5721"/>
    <w:rsid w:val="005136E4"/>
    <w:rsid w:val="00682BE3"/>
    <w:rsid w:val="00685B4E"/>
    <w:rsid w:val="00787DF9"/>
    <w:rsid w:val="008859B7"/>
    <w:rsid w:val="008D3674"/>
    <w:rsid w:val="00980C55"/>
    <w:rsid w:val="00997797"/>
    <w:rsid w:val="009D319C"/>
    <w:rsid w:val="009E706B"/>
    <w:rsid w:val="009F174F"/>
    <w:rsid w:val="00A47FD9"/>
    <w:rsid w:val="00BB5304"/>
    <w:rsid w:val="00BD57CA"/>
    <w:rsid w:val="00BF2ACD"/>
    <w:rsid w:val="00C3112B"/>
    <w:rsid w:val="00C80EEB"/>
    <w:rsid w:val="00D52CEF"/>
    <w:rsid w:val="00DC6D92"/>
    <w:rsid w:val="00DD6735"/>
    <w:rsid w:val="00DE344F"/>
    <w:rsid w:val="00E72DE1"/>
    <w:rsid w:val="00E7532E"/>
    <w:rsid w:val="00EA4B4C"/>
    <w:rsid w:val="00F3074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1C3783"/>
  <w15:docId w15:val="{2F9BE2CD-B7D9-481B-BCD7-7DBA10AF3F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211BD2" w:rsidRDefault="001A07FC">
          <w:r w:rsidRPr="00925A3E">
            <w:rPr>
              <w:rStyle w:val="PlaceholderText"/>
            </w:rPr>
            <w:t>Click or tap to enter a date.</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9B7E51" w:rsidRDefault="001A07FC" w:rsidP="00AF0AC5">
          <w:pPr>
            <w:pStyle w:val="B49FA1BBEF644AB6B201ADBCD49F2011"/>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9B7E51" w:rsidRDefault="001A07FC" w:rsidP="00AF0AC5">
          <w:pPr>
            <w:pStyle w:val="0B2FCB2C6D314CE59B805B4EB6683D10"/>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B7E51"/>
    <w:rsid w:val="000D695E"/>
    <w:rsid w:val="001A07FC"/>
    <w:rsid w:val="00211BD2"/>
    <w:rsid w:val="002F43D2"/>
    <w:rsid w:val="00653013"/>
    <w:rsid w:val="00682BE3"/>
    <w:rsid w:val="00685B4E"/>
    <w:rsid w:val="009B7E51"/>
    <w:rsid w:val="00BC5E6D"/>
    <w:rsid w:val="00C9271F"/>
    <w:rsid w:val="00E72DE1"/>
    <w:rsid w:val="00F3074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B49FA1BBEF644AB6B201ADBCD49F2011">
    <w:name w:val="B49FA1BBEF644AB6B201ADBCD49F2011"/>
    <w:rsid w:val="00AF0AC5"/>
  </w:style>
  <w:style w:type="paragraph" w:customStyle="1" w:styleId="0B2FCB2C6D314CE59B805B4EB6683D10">
    <w:name w:val="0B2FCB2C6D314CE59B805B4EB6683D10"/>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1023</Words>
  <Characters>5832</Characters>
  <Application>Microsoft Office Word</Application>
  <DocSecurity>12</DocSecurity>
  <Lines>48</Lines>
  <Paragraphs>13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6842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2</cp:revision>
  <dcterms:created xsi:type="dcterms:W3CDTF">2024-08-06T22:22:00Z</dcterms:created>
  <dcterms:modified xsi:type="dcterms:W3CDTF">2024-08-06T22:22:00Z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