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7018" w14:textId="77777777" w:rsidR="00D2559D" w:rsidRPr="002C3EBF" w:rsidRDefault="00F71D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227154" wp14:editId="1C2271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0505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227019" w14:textId="77777777" w:rsidR="00D2559D" w:rsidRDefault="00F71D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22701A" w14:textId="77777777" w:rsidR="00D2559D" w:rsidRDefault="00F71D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22701B" w14:textId="77777777" w:rsidR="00D2559D" w:rsidRPr="002C3EBF" w:rsidRDefault="00F71D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107F" w14:paraId="1C22701E" w14:textId="77777777" w:rsidTr="008C107F">
        <w:tc>
          <w:tcPr>
            <w:cnfStyle w:val="001000000000" w:firstRow="0" w:lastRow="0" w:firstColumn="1" w:lastColumn="0" w:oddVBand="0" w:evenVBand="0" w:oddHBand="0" w:evenHBand="0" w:firstRowFirstColumn="0" w:firstRowLastColumn="0" w:lastRowFirstColumn="0" w:lastRowLastColumn="0"/>
            <w:tcW w:w="3227" w:type="dxa"/>
          </w:tcPr>
          <w:p w14:paraId="1C22701C" w14:textId="77777777" w:rsidR="00D2559D" w:rsidRPr="00996FAF" w:rsidRDefault="00F71D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22701D" w14:textId="77777777" w:rsidR="00D2559D" w:rsidRPr="00996FAF" w:rsidRDefault="00F71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Osboine Contemporary Aged Care</w:t>
            </w:r>
          </w:p>
        </w:tc>
      </w:tr>
      <w:tr w:rsidR="008C107F" w14:paraId="1C227021" w14:textId="77777777" w:rsidTr="008C1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2701F" w14:textId="77777777" w:rsidR="00CA37CB" w:rsidRPr="00996FAF" w:rsidRDefault="00F71D9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227020" w14:textId="77777777" w:rsidR="00CA37CB" w:rsidRPr="00996FAF" w:rsidRDefault="00F71D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 Newton Street</w:t>
            </w:r>
            <w:r w:rsidRPr="00602258">
              <w:rPr>
                <w:rFonts w:ascii="Arial" w:hAnsi="Arial" w:cs="Arial"/>
                <w:color w:val="auto"/>
              </w:rPr>
              <w:t xml:space="preserve"> BAYSWATER WA 6053</w:t>
            </w:r>
          </w:p>
        </w:tc>
      </w:tr>
      <w:tr w:rsidR="008C107F" w14:paraId="1C227024" w14:textId="77777777" w:rsidTr="008C10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27022" w14:textId="77777777" w:rsidR="00CA37CB" w:rsidRPr="00996FAF" w:rsidRDefault="00F71D9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227023" w14:textId="77777777" w:rsidR="00CA37CB" w:rsidRPr="00996FAF" w:rsidRDefault="00F71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7274</w:t>
            </w:r>
          </w:p>
        </w:tc>
      </w:tr>
      <w:tr w:rsidR="008C107F" w14:paraId="1C227027" w14:textId="77777777" w:rsidTr="008C1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27025" w14:textId="77777777" w:rsidR="00D2559D" w:rsidRPr="00996FAF" w:rsidRDefault="00F71D9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227026" w14:textId="77777777" w:rsidR="00D2559D" w:rsidRPr="00996FAF" w:rsidRDefault="00F71D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Alinea Inc.</w:t>
            </w:r>
          </w:p>
        </w:tc>
      </w:tr>
      <w:tr w:rsidR="008C107F" w14:paraId="1C22702A" w14:textId="77777777" w:rsidTr="008C10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27028" w14:textId="77777777" w:rsidR="00D2559D" w:rsidRPr="00996FAF" w:rsidRDefault="00F71D9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227029" w14:textId="77777777" w:rsidR="00D2559D" w:rsidRPr="00996FAF" w:rsidRDefault="00F71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C107F" w14:paraId="1C22702D" w14:textId="77777777" w:rsidTr="008C10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2702B" w14:textId="77777777" w:rsidR="00D2559D" w:rsidRPr="00996FAF" w:rsidRDefault="00F71D9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22702C" w14:textId="77777777" w:rsidR="00D2559D" w:rsidRPr="00996FAF" w:rsidRDefault="00F71D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September 2022</w:t>
            </w:r>
          </w:p>
        </w:tc>
      </w:tr>
      <w:tr w:rsidR="008C107F" w14:paraId="1C227030" w14:textId="77777777" w:rsidTr="008C10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22702E" w14:textId="77777777" w:rsidR="00D2559D" w:rsidRPr="00996FAF" w:rsidRDefault="00F71D9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22702F" w14:textId="6A9DF6B7" w:rsidR="00D2559D" w:rsidRPr="00996FAF" w:rsidRDefault="00F71D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71D93">
              <w:rPr>
                <w:rFonts w:ascii="Arial" w:hAnsi="Arial" w:cs="Arial"/>
                <w:color w:val="auto"/>
              </w:rPr>
              <w:t>4 November 2022</w:t>
            </w:r>
          </w:p>
        </w:tc>
      </w:tr>
    </w:tbl>
    <w:bookmarkEnd w:id="0"/>
    <w:p w14:paraId="1C227031" w14:textId="77777777" w:rsidR="00FA0A5B" w:rsidRPr="00996FAF" w:rsidRDefault="00F71D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227032" w14:textId="77777777" w:rsidR="000078F8" w:rsidRPr="00996FAF" w:rsidRDefault="00F71D9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39DE1F" w14:textId="77777777" w:rsidR="00F71D93" w:rsidRPr="00F71D93" w:rsidRDefault="00F71D93" w:rsidP="00F71D93">
      <w:pPr>
        <w:spacing w:before="240" w:line="276" w:lineRule="auto"/>
        <w:rPr>
          <w:rFonts w:ascii="Arial" w:eastAsia="Calibri" w:hAnsi="Arial" w:cs="Arial"/>
          <w:color w:val="auto"/>
          <w:szCs w:val="22"/>
        </w:rPr>
      </w:pPr>
      <w:r w:rsidRPr="00F71D93">
        <w:rPr>
          <w:rFonts w:ascii="Arial" w:eastAsia="Calibri" w:hAnsi="Arial" w:cs="Arial"/>
          <w:color w:val="auto"/>
          <w:szCs w:val="22"/>
        </w:rPr>
        <w:t>This performance report for Osboine Contemporary Aged Care (the service) has been prepared by M Glenn, delegate of the Aged Care Quality and Safety Commissioner (Commissioner)</w:t>
      </w:r>
      <w:r w:rsidRPr="00F71D93">
        <w:rPr>
          <w:rFonts w:ascii="Arial" w:eastAsia="Calibri" w:hAnsi="Arial" w:cs="Arial"/>
          <w:color w:val="auto"/>
          <w:szCs w:val="22"/>
        </w:rPr>
        <w:footnoteReference w:id="1"/>
      </w:r>
      <w:r w:rsidRPr="00F71D93">
        <w:rPr>
          <w:rFonts w:ascii="Arial" w:eastAsia="Calibri" w:hAnsi="Arial" w:cs="Arial"/>
          <w:color w:val="auto"/>
          <w:szCs w:val="22"/>
        </w:rPr>
        <w:t xml:space="preserve">. </w:t>
      </w:r>
    </w:p>
    <w:p w14:paraId="050B2076" w14:textId="77777777" w:rsidR="00F71D93" w:rsidRPr="00F71D93" w:rsidRDefault="00F71D93" w:rsidP="00F71D93">
      <w:pPr>
        <w:spacing w:before="240" w:line="276" w:lineRule="auto"/>
        <w:rPr>
          <w:rFonts w:ascii="Arial" w:eastAsia="Calibri" w:hAnsi="Arial" w:cs="Arial"/>
          <w:color w:val="auto"/>
          <w:szCs w:val="22"/>
        </w:rPr>
      </w:pPr>
      <w:r w:rsidRPr="00F71D93">
        <w:rPr>
          <w:rFonts w:ascii="Arial" w:eastAsia="Calibri" w:hAnsi="Arial" w:cs="Arial"/>
          <w:color w:val="auto"/>
          <w:szCs w:val="22"/>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E8F023" w14:textId="77777777" w:rsidR="00F71D93" w:rsidRPr="00F71D93" w:rsidRDefault="00F71D93" w:rsidP="00F71D93">
      <w:pPr>
        <w:spacing w:before="240" w:line="276" w:lineRule="auto"/>
        <w:rPr>
          <w:rFonts w:ascii="Arial" w:eastAsia="Calibri" w:hAnsi="Arial" w:cs="Arial"/>
          <w:color w:val="auto"/>
          <w:szCs w:val="22"/>
        </w:rPr>
      </w:pPr>
      <w:r w:rsidRPr="00F71D93">
        <w:rPr>
          <w:rFonts w:ascii="Arial" w:eastAsia="Calibri" w:hAnsi="Arial" w:cs="Arial"/>
          <w:color w:val="auto"/>
          <w:szCs w:val="22"/>
        </w:rPr>
        <w:t>The report also specifies any areas in which improvements must be made to ensure the Quality Standards are complied with.</w:t>
      </w:r>
    </w:p>
    <w:p w14:paraId="01513B12" w14:textId="77777777" w:rsidR="00F71D93" w:rsidRPr="00996FAF" w:rsidRDefault="00F71D93" w:rsidP="00F71D93">
      <w:pPr>
        <w:pStyle w:val="Heading1"/>
        <w:spacing w:before="240" w:after="240" w:line="22" w:lineRule="atLeast"/>
        <w:rPr>
          <w:rFonts w:ascii="Arial" w:hAnsi="Arial" w:cs="Arial"/>
        </w:rPr>
      </w:pPr>
      <w:r w:rsidRPr="00996FAF">
        <w:rPr>
          <w:rFonts w:ascii="Arial" w:hAnsi="Arial" w:cs="Arial"/>
        </w:rPr>
        <w:t>Material relied on</w:t>
      </w:r>
    </w:p>
    <w:p w14:paraId="2453D88A" w14:textId="77777777" w:rsidR="00F71D93" w:rsidRPr="00996FAF" w:rsidRDefault="00F71D93" w:rsidP="00F71D93">
      <w:pPr>
        <w:pStyle w:val="NormalArial"/>
      </w:pPr>
      <w:r w:rsidRPr="00996FAF">
        <w:t>The following information has been considered in preparing the performance report:</w:t>
      </w:r>
    </w:p>
    <w:p w14:paraId="3FA6E60C" w14:textId="77777777" w:rsidR="00F71D93" w:rsidRDefault="00F71D93" w:rsidP="00F71D93">
      <w:pPr>
        <w:pStyle w:val="ListBullet"/>
        <w:numPr>
          <w:ilvl w:val="0"/>
          <w:numId w:val="2"/>
        </w:numPr>
        <w:spacing w:before="240" w:after="120" w:line="276" w:lineRule="auto"/>
        <w:ind w:left="425" w:hanging="425"/>
        <w:rPr>
          <w:rFonts w:ascii="Arial" w:hAnsi="Arial" w:cs="Arial"/>
          <w:color w:val="auto"/>
        </w:rPr>
      </w:pPr>
      <w:r>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00D43D62" w14:textId="77777777" w:rsidR="00F71D93" w:rsidRDefault="00F71D93" w:rsidP="00F71D93">
      <w:pPr>
        <w:pStyle w:val="ListBullet"/>
        <w:numPr>
          <w:ilvl w:val="0"/>
          <w:numId w:val="2"/>
        </w:numPr>
        <w:spacing w:before="240" w:after="120" w:line="276" w:lineRule="auto"/>
        <w:ind w:left="425" w:hanging="425"/>
        <w:rPr>
          <w:rFonts w:ascii="Arial" w:hAnsi="Arial" w:cs="Arial"/>
          <w:color w:val="auto"/>
        </w:rPr>
      </w:pPr>
      <w:r>
        <w:rPr>
          <w:rFonts w:ascii="Arial" w:hAnsi="Arial" w:cs="Arial"/>
          <w:color w:val="auto"/>
        </w:rPr>
        <w:t>the provider’s response to the Assessment Team’s report received 18 October 2022; and</w:t>
      </w:r>
    </w:p>
    <w:p w14:paraId="69437A51" w14:textId="77777777" w:rsidR="00F71D93" w:rsidRDefault="00F71D93" w:rsidP="00F71D93">
      <w:pPr>
        <w:pStyle w:val="ListBullet"/>
        <w:numPr>
          <w:ilvl w:val="0"/>
          <w:numId w:val="2"/>
        </w:numPr>
        <w:spacing w:before="240" w:after="120" w:line="276" w:lineRule="auto"/>
        <w:ind w:left="425" w:hanging="425"/>
        <w:rPr>
          <w:rFonts w:ascii="Arial" w:hAnsi="Arial" w:cs="Arial"/>
          <w:color w:val="auto"/>
        </w:rPr>
      </w:pPr>
      <w:r>
        <w:rPr>
          <w:rFonts w:ascii="Arial" w:hAnsi="Arial" w:cs="Arial"/>
          <w:color w:val="auto"/>
        </w:rPr>
        <w:t xml:space="preserve">a Performance Report dated 8 February 2022 for a Site Audit undertaken from 14 November 2021 to 16 November 2021.  </w:t>
      </w:r>
    </w:p>
    <w:p w14:paraId="1C22703C" w14:textId="6B988BD8" w:rsidR="003B1763" w:rsidRPr="00712752" w:rsidRDefault="00F71D9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22703D" w14:textId="77777777" w:rsidR="00FC045E" w:rsidRPr="00996FAF" w:rsidRDefault="00F71D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107F" w14:paraId="1C227046" w14:textId="77777777" w:rsidTr="008C10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227044" w14:textId="77777777" w:rsidR="00FC045E" w:rsidRPr="00996FAF" w:rsidRDefault="00F71D93"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1C227045" w14:textId="0F8AE021" w:rsidR="00FC045E" w:rsidRPr="00996FAF" w:rsidRDefault="00FB59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D93" w:rsidRPr="00F71D93">
                  <w:rPr>
                    <w:rFonts w:ascii="Arial" w:hAnsi="Arial" w:cs="Arial"/>
                    <w:bCs/>
                  </w:rPr>
                  <w:t>Non-compliant</w:t>
                </w:r>
              </w:sdtContent>
            </w:sdt>
            <w:r w:rsidR="00F71D93" w:rsidRPr="00996FAF">
              <w:rPr>
                <w:rFonts w:ascii="Arial" w:hAnsi="Arial" w:cs="Arial"/>
              </w:rPr>
              <w:t xml:space="preserve"> </w:t>
            </w:r>
          </w:p>
        </w:tc>
      </w:tr>
    </w:tbl>
    <w:p w14:paraId="1C227056" w14:textId="77777777" w:rsidR="00FC045E" w:rsidRPr="00996FAF" w:rsidRDefault="00F71D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227057" w14:textId="77777777" w:rsidR="00FC045E" w:rsidRPr="00996FAF" w:rsidRDefault="00F71D93" w:rsidP="00712752">
      <w:pPr>
        <w:pStyle w:val="Heading1"/>
        <w:spacing w:before="0" w:after="240" w:line="22" w:lineRule="atLeast"/>
        <w:rPr>
          <w:rFonts w:ascii="Arial" w:hAnsi="Arial" w:cs="Arial"/>
        </w:rPr>
      </w:pPr>
      <w:r w:rsidRPr="00996FAF">
        <w:rPr>
          <w:rFonts w:ascii="Arial" w:hAnsi="Arial" w:cs="Arial"/>
        </w:rPr>
        <w:t>Areas for improvement</w:t>
      </w:r>
    </w:p>
    <w:p w14:paraId="1C22705B" w14:textId="77777777" w:rsidR="00FC045E" w:rsidRPr="00996FAF" w:rsidRDefault="00F71D93" w:rsidP="0057569D">
      <w:pPr>
        <w:pStyle w:val="NormalArial"/>
        <w:spacing w:before="240"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75A14B4" w14:textId="77777777" w:rsidR="00F71D93" w:rsidRPr="00E461FB" w:rsidRDefault="00F71D93" w:rsidP="0057569D">
      <w:pPr>
        <w:pStyle w:val="NormalArial"/>
        <w:spacing w:before="240" w:line="276" w:lineRule="auto"/>
        <w:rPr>
          <w:b/>
          <w:bCs/>
        </w:rPr>
      </w:pPr>
      <w:r w:rsidRPr="00E461FB">
        <w:rPr>
          <w:b/>
          <w:bCs/>
        </w:rPr>
        <w:t>Standard 3 Requirement (3)(b)</w:t>
      </w:r>
    </w:p>
    <w:p w14:paraId="55D927B6" w14:textId="77777777" w:rsidR="00F71D93" w:rsidRPr="00BF1629" w:rsidRDefault="00F71D93" w:rsidP="00F71D93">
      <w:pPr>
        <w:numPr>
          <w:ilvl w:val="0"/>
          <w:numId w:val="12"/>
        </w:numPr>
        <w:spacing w:before="240" w:line="276" w:lineRule="auto"/>
        <w:ind w:left="425" w:hanging="425"/>
        <w:rPr>
          <w:rFonts w:ascii="Arial" w:hAnsi="Arial" w:cs="Arial"/>
          <w:color w:val="auto"/>
          <w:szCs w:val="22"/>
        </w:rPr>
      </w:pPr>
      <w:r>
        <w:rPr>
          <w:rFonts w:ascii="Arial" w:hAnsi="Arial" w:cs="Arial"/>
          <w:color w:val="auto"/>
          <w:szCs w:val="22"/>
        </w:rPr>
        <w:t>Ensure s</w:t>
      </w:r>
      <w:r w:rsidRPr="00BF1629">
        <w:rPr>
          <w:rFonts w:ascii="Arial" w:hAnsi="Arial" w:cs="Arial"/>
          <w:color w:val="auto"/>
          <w:szCs w:val="22"/>
        </w:rPr>
        <w:t>taff have the skills and knowledge to</w:t>
      </w:r>
      <w:r>
        <w:rPr>
          <w:rFonts w:ascii="Arial" w:hAnsi="Arial" w:cs="Arial"/>
          <w:color w:val="auto"/>
          <w:szCs w:val="22"/>
        </w:rPr>
        <w:t xml:space="preserve"> </w:t>
      </w:r>
      <w:r w:rsidRPr="00BF1629">
        <w:rPr>
          <w:rFonts w:ascii="Arial" w:hAnsi="Arial" w:cs="Arial"/>
          <w:color w:val="auto"/>
          <w:szCs w:val="22"/>
        </w:rPr>
        <w:t>identify and escalate changes to consumers’ skin integrity and wounds and initiate referrals in a timely manner.</w:t>
      </w:r>
    </w:p>
    <w:p w14:paraId="06D567BC" w14:textId="77777777" w:rsidR="00F71D93" w:rsidRPr="00BF1629" w:rsidRDefault="00F71D93" w:rsidP="00F71D93">
      <w:pPr>
        <w:numPr>
          <w:ilvl w:val="0"/>
          <w:numId w:val="12"/>
        </w:numPr>
        <w:spacing w:before="240" w:line="276" w:lineRule="auto"/>
        <w:ind w:left="425" w:hanging="425"/>
        <w:rPr>
          <w:rFonts w:ascii="Arial" w:hAnsi="Arial" w:cs="Arial"/>
          <w:color w:val="auto"/>
          <w:szCs w:val="22"/>
        </w:rPr>
      </w:pPr>
      <w:r w:rsidRPr="00BF1629">
        <w:rPr>
          <w:rFonts w:ascii="Arial" w:hAnsi="Arial" w:cs="Arial"/>
          <w:color w:val="auto"/>
          <w:szCs w:val="22"/>
        </w:rPr>
        <w:t xml:space="preserve">Ensure policies, procedures and guidelines in relation to skin care and wound management are effectively communicated and understood by staff. </w:t>
      </w:r>
    </w:p>
    <w:p w14:paraId="43F93904" w14:textId="77777777" w:rsidR="00F71D93" w:rsidRPr="00BF1629" w:rsidRDefault="00F71D93" w:rsidP="00F71D93">
      <w:pPr>
        <w:numPr>
          <w:ilvl w:val="0"/>
          <w:numId w:val="12"/>
        </w:numPr>
        <w:spacing w:before="240" w:line="276" w:lineRule="auto"/>
        <w:ind w:left="425" w:hanging="425"/>
        <w:rPr>
          <w:rFonts w:ascii="Arial" w:hAnsi="Arial" w:cs="Arial"/>
          <w:color w:val="auto"/>
          <w:szCs w:val="22"/>
        </w:rPr>
      </w:pPr>
      <w:r w:rsidRPr="00BF1629">
        <w:rPr>
          <w:rFonts w:ascii="Arial" w:hAnsi="Arial" w:cs="Arial"/>
          <w:color w:val="auto"/>
          <w:szCs w:val="22"/>
        </w:rPr>
        <w:t xml:space="preserve">Monitor staff compliance with the service’s policies, procedures and guidelines in relation to skin care and wound management. </w:t>
      </w:r>
    </w:p>
    <w:p w14:paraId="4B0D1E40" w14:textId="77777777" w:rsidR="00F71D93" w:rsidRPr="00996FAF" w:rsidRDefault="00F71D93" w:rsidP="0057569D">
      <w:pPr>
        <w:pStyle w:val="Heading1"/>
        <w:spacing w:before="240" w:after="120" w:line="22" w:lineRule="atLeast"/>
        <w:rPr>
          <w:rFonts w:ascii="Arial" w:hAnsi="Arial" w:cs="Arial"/>
        </w:rPr>
      </w:pPr>
      <w:r w:rsidRPr="00996FAF">
        <w:rPr>
          <w:rFonts w:ascii="Arial" w:hAnsi="Arial" w:cs="Arial"/>
        </w:rPr>
        <w:t xml:space="preserve">Other relevant matters: </w:t>
      </w:r>
    </w:p>
    <w:p w14:paraId="1C22705E" w14:textId="514E683F" w:rsidR="00FC045E" w:rsidRPr="00996FAF" w:rsidRDefault="00F71D93" w:rsidP="00F71D93">
      <w:pPr>
        <w:spacing w:before="240" w:line="276" w:lineRule="auto"/>
      </w:pPr>
      <w:r w:rsidRPr="00F71D93">
        <w:rPr>
          <w:rFonts w:ascii="Arial" w:eastAsia="Calibri" w:hAnsi="Arial" w:cs="Arial"/>
          <w:color w:val="auto"/>
          <w:szCs w:val="22"/>
        </w:rPr>
        <w:t>In relation to Standard 3 Requirement (3)(a), I would encourage the service to review assessment, monitoring and review processes associated with use of restrictive practices.</w:t>
      </w:r>
      <w:r w:rsidRPr="00996FAF">
        <w:t xml:space="preserve"> </w:t>
      </w:r>
      <w:r w:rsidRPr="00996FAF">
        <w:br w:type="page"/>
      </w:r>
    </w:p>
    <w:p w14:paraId="1C22709D" w14:textId="77777777" w:rsidR="00FC045E" w:rsidRPr="00996FAF" w:rsidRDefault="00F71D9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C107F" w14:paraId="1C2270A0" w14:textId="77777777" w:rsidTr="00F71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C22709E" w14:textId="77777777" w:rsidR="00FC045E" w:rsidRPr="00996FAF" w:rsidRDefault="00F71D9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22709F" w14:textId="77777777" w:rsidR="00FC045E" w:rsidRPr="00996FAF" w:rsidRDefault="00FB59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107F" w14:paraId="1C2270AB" w14:textId="77777777" w:rsidTr="008C107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270A8" w14:textId="77777777" w:rsidR="00FC045E" w:rsidRPr="00996FAF" w:rsidRDefault="00F71D9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2270A9" w14:textId="77777777" w:rsidR="00FC045E" w:rsidRPr="00996FAF" w:rsidRDefault="00F71D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C2270AA" w14:textId="0A9450FB" w:rsidR="00FC045E" w:rsidRPr="00996FAF" w:rsidRDefault="00FB59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71D93">
                  <w:rPr>
                    <w:rFonts w:ascii="Arial" w:hAnsi="Arial" w:cs="Arial"/>
                    <w:color w:val="auto"/>
                  </w:rPr>
                  <w:t>Non-compliant</w:t>
                </w:r>
              </w:sdtContent>
            </w:sdt>
            <w:r w:rsidR="00F71D93" w:rsidRPr="00996FAF">
              <w:rPr>
                <w:rFonts w:ascii="Arial" w:hAnsi="Arial" w:cs="Arial"/>
                <w:color w:val="0000FF"/>
              </w:rPr>
              <w:t xml:space="preserve"> </w:t>
            </w:r>
          </w:p>
        </w:tc>
      </w:tr>
    </w:tbl>
    <w:p w14:paraId="1C2270C2" w14:textId="77777777" w:rsidR="00D87E7C" w:rsidRDefault="00F71D93" w:rsidP="00D87E7C">
      <w:pPr>
        <w:pStyle w:val="Heading20"/>
      </w:pPr>
      <w:r w:rsidRPr="00996FAF">
        <w:t>Findings</w:t>
      </w:r>
    </w:p>
    <w:p w14:paraId="367BF311" w14:textId="77777777" w:rsidR="00F71D93" w:rsidRDefault="00F71D93" w:rsidP="00F71D93">
      <w:pPr>
        <w:spacing w:before="240" w:line="276" w:lineRule="auto"/>
        <w:rPr>
          <w:rFonts w:ascii="Arial" w:eastAsia="Calibri" w:hAnsi="Arial" w:cs="Arial"/>
          <w:color w:val="auto"/>
          <w:szCs w:val="22"/>
        </w:rPr>
      </w:pPr>
      <w:r w:rsidRPr="002510D9">
        <w:rPr>
          <w:rFonts w:ascii="Arial" w:eastAsia="Calibri" w:hAnsi="Arial" w:cs="Arial"/>
          <w:color w:val="auto"/>
          <w:szCs w:val="22"/>
        </w:rPr>
        <w:t>Requirement (3)(</w:t>
      </w:r>
      <w:r>
        <w:rPr>
          <w:rFonts w:ascii="Arial" w:eastAsia="Calibri" w:hAnsi="Arial" w:cs="Arial"/>
          <w:color w:val="auto"/>
          <w:szCs w:val="22"/>
        </w:rPr>
        <w:t>b</w:t>
      </w:r>
      <w:r w:rsidRPr="002510D9">
        <w:rPr>
          <w:rFonts w:ascii="Arial" w:eastAsia="Calibri" w:hAnsi="Arial" w:cs="Arial"/>
          <w:color w:val="auto"/>
          <w:szCs w:val="22"/>
        </w:rPr>
        <w:t xml:space="preserve">) was found Non-compliant following a Site Audit undertaken from </w:t>
      </w:r>
      <w:r>
        <w:rPr>
          <w:rFonts w:ascii="Arial" w:hAnsi="Arial" w:cs="Arial"/>
          <w:color w:val="auto"/>
        </w:rPr>
        <w:t>14 November 2021 to 16 November 2021</w:t>
      </w:r>
      <w:r w:rsidRPr="002510D9">
        <w:rPr>
          <w:rFonts w:ascii="Arial" w:eastAsia="Calibri" w:hAnsi="Arial" w:cs="Arial"/>
          <w:color w:val="auto"/>
          <w:szCs w:val="22"/>
        </w:rPr>
        <w:t xml:space="preserve"> where it was found the service was </w:t>
      </w:r>
      <w:r>
        <w:rPr>
          <w:rFonts w:ascii="Arial" w:eastAsia="Calibri" w:hAnsi="Arial" w:cs="Arial"/>
          <w:color w:val="auto"/>
          <w:szCs w:val="22"/>
        </w:rPr>
        <w:t>un</w:t>
      </w:r>
      <w:r w:rsidRPr="002510D9">
        <w:rPr>
          <w:rFonts w:ascii="Arial" w:eastAsia="Calibri" w:hAnsi="Arial" w:cs="Arial"/>
          <w:color w:val="auto"/>
          <w:szCs w:val="22"/>
        </w:rPr>
        <w:t xml:space="preserve">able to demonstrate </w:t>
      </w:r>
      <w:r w:rsidRPr="00EE3E07">
        <w:rPr>
          <w:rFonts w:ascii="Arial" w:eastAsia="Calibri" w:hAnsi="Arial" w:cs="Arial"/>
          <w:color w:val="auto"/>
          <w:szCs w:val="22"/>
        </w:rPr>
        <w:t xml:space="preserve">high impact or high prevalence risks, specifically in relation to behaviour management for </w:t>
      </w:r>
      <w:r>
        <w:rPr>
          <w:rFonts w:ascii="Arial" w:eastAsia="Calibri" w:hAnsi="Arial" w:cs="Arial"/>
          <w:color w:val="auto"/>
          <w:szCs w:val="22"/>
        </w:rPr>
        <w:t>two consumers,</w:t>
      </w:r>
      <w:r w:rsidRPr="00EE3E07">
        <w:rPr>
          <w:rFonts w:ascii="Arial" w:eastAsia="Calibri" w:hAnsi="Arial" w:cs="Arial"/>
          <w:color w:val="auto"/>
          <w:szCs w:val="22"/>
        </w:rPr>
        <w:t xml:space="preserve"> were effectively managed</w:t>
      </w:r>
      <w:r w:rsidRPr="002510D9">
        <w:rPr>
          <w:rFonts w:ascii="Arial" w:eastAsia="Calibri" w:hAnsi="Arial" w:cs="Arial"/>
          <w:color w:val="auto"/>
          <w:szCs w:val="22"/>
        </w:rPr>
        <w:t xml:space="preserve">. </w:t>
      </w:r>
      <w:r>
        <w:rPr>
          <w:rFonts w:ascii="Arial" w:eastAsia="Calibri" w:hAnsi="Arial" w:cs="Arial"/>
          <w:color w:val="auto"/>
          <w:szCs w:val="22"/>
        </w:rPr>
        <w:t>While t</w:t>
      </w:r>
      <w:r w:rsidRPr="002510D9">
        <w:rPr>
          <w:rFonts w:ascii="Arial" w:eastAsia="Calibri" w:hAnsi="Arial" w:cs="Arial"/>
          <w:color w:val="auto"/>
          <w:szCs w:val="22"/>
        </w:rPr>
        <w:t xml:space="preserve">he Assessment Team’s report </w:t>
      </w:r>
      <w:r>
        <w:rPr>
          <w:rFonts w:ascii="Arial" w:eastAsia="Calibri" w:hAnsi="Arial" w:cs="Arial"/>
          <w:color w:val="auto"/>
          <w:szCs w:val="22"/>
        </w:rPr>
        <w:t xml:space="preserve">outlined actions to address the non-compliance, none of the actions had been implemented. Actions included implementation of a weekly clinical crossover meeting which has not yet commenced; setting up a clinical risk register, however, consumer risks are still to be recorded; and the availability of a staff educator to mentor clinical staff, specifically with wound care, with the first visit scheduled the day after the Assessment Contact visit. </w:t>
      </w:r>
    </w:p>
    <w:p w14:paraId="4C28AF43" w14:textId="77777777" w:rsidR="00F71D93" w:rsidRDefault="00F71D93" w:rsidP="0057569D">
      <w:pPr>
        <w:spacing w:before="240" w:line="276" w:lineRule="auto"/>
        <w:rPr>
          <w:rFonts w:ascii="Arial" w:eastAsia="Calibri" w:hAnsi="Arial" w:cs="Arial"/>
          <w:color w:val="auto"/>
          <w:szCs w:val="22"/>
        </w:rPr>
      </w:pPr>
      <w:r>
        <w:rPr>
          <w:rFonts w:ascii="Arial" w:eastAsia="Calibri" w:hAnsi="Arial" w:cs="Arial"/>
          <w:color w:val="auto"/>
          <w:szCs w:val="22"/>
        </w:rPr>
        <w:t xml:space="preserve">At the Assessment Contact visit conducted on 29 September 2022, the Assessment Team were not satisfied the service demonstrated effective wound care, including timely referral to specialist services or effective consent, documentation and monitoring processes relating to restrictive practices. </w:t>
      </w:r>
      <w:r w:rsidRPr="009848CC">
        <w:rPr>
          <w:rFonts w:ascii="Arial" w:eastAsia="Calibri" w:hAnsi="Arial" w:cs="Arial"/>
          <w:color w:val="auto"/>
          <w:szCs w:val="22"/>
        </w:rPr>
        <w:t>The Assessment Team’s report provided the following evidence relevant to my finding:</w:t>
      </w:r>
    </w:p>
    <w:p w14:paraId="4FD8803F" w14:textId="77777777" w:rsidR="00F71D93" w:rsidRDefault="00F71D93" w:rsidP="0057569D">
      <w:pPr>
        <w:spacing w:before="240" w:line="276" w:lineRule="auto"/>
        <w:rPr>
          <w:rFonts w:ascii="Arial" w:eastAsia="Calibri" w:hAnsi="Arial" w:cs="Arial"/>
          <w:color w:val="auto"/>
          <w:szCs w:val="22"/>
        </w:rPr>
      </w:pPr>
      <w:r>
        <w:rPr>
          <w:rFonts w:ascii="Arial" w:eastAsia="Calibri" w:hAnsi="Arial" w:cs="Arial"/>
          <w:color w:val="auto"/>
          <w:szCs w:val="22"/>
        </w:rPr>
        <w:t xml:space="preserve">Consumer A </w:t>
      </w:r>
    </w:p>
    <w:p w14:paraId="3FBCC1BC" w14:textId="77777777" w:rsidR="00F71D93" w:rsidRDefault="00F71D93" w:rsidP="00F71D93">
      <w:pPr>
        <w:pStyle w:val="ListBullet"/>
        <w:numPr>
          <w:ilvl w:val="0"/>
          <w:numId w:val="2"/>
        </w:numPr>
        <w:spacing w:before="240" w:after="120" w:line="276" w:lineRule="auto"/>
        <w:ind w:left="425" w:hanging="425"/>
        <w:rPr>
          <w:rFonts w:ascii="Arial" w:eastAsia="Calibri" w:hAnsi="Arial" w:cs="Arial"/>
          <w:color w:val="auto"/>
          <w:szCs w:val="22"/>
        </w:rPr>
      </w:pPr>
      <w:r>
        <w:rPr>
          <w:rFonts w:ascii="Arial" w:eastAsia="Calibri" w:hAnsi="Arial" w:cs="Arial"/>
          <w:color w:val="auto"/>
          <w:szCs w:val="22"/>
        </w:rPr>
        <w:t>A wound was noted to have deteriorated and increased in size two days following identification in August 2022. Ten and 18 days following identification, the wound continued to increase in size and deteriorate. A referral to a Wound specialist was not initiated until almost three weeks following the initial deterioration and increase in size and queried whether a tendon was now exposed.</w:t>
      </w:r>
    </w:p>
    <w:p w14:paraId="476122C3" w14:textId="77777777" w:rsidR="00F71D93" w:rsidRDefault="00F71D93" w:rsidP="00F71D93">
      <w:pPr>
        <w:pStyle w:val="ListBullet"/>
        <w:numPr>
          <w:ilvl w:val="0"/>
          <w:numId w:val="2"/>
        </w:numPr>
        <w:spacing w:before="240" w:after="120" w:line="276" w:lineRule="auto"/>
        <w:ind w:left="425" w:hanging="425"/>
        <w:rPr>
          <w:rFonts w:ascii="Arial" w:eastAsia="Calibri" w:hAnsi="Arial" w:cs="Arial"/>
          <w:color w:val="auto"/>
          <w:szCs w:val="22"/>
        </w:rPr>
      </w:pPr>
      <w:r>
        <w:rPr>
          <w:rFonts w:ascii="Arial" w:eastAsia="Calibri" w:hAnsi="Arial" w:cs="Arial"/>
          <w:color w:val="auto"/>
          <w:szCs w:val="22"/>
        </w:rPr>
        <w:t>Progress notes indicate when the Wound specialist attended, the wound was dry and there were no signs of infection. The specialist did not view the wound, rather reviewed a photograph of the wound. The service did not provide accurate information to the specialist to enable wound assessment.</w:t>
      </w:r>
    </w:p>
    <w:p w14:paraId="747F6808" w14:textId="77777777" w:rsidR="00F71D93" w:rsidRDefault="00F71D93" w:rsidP="00F71D93">
      <w:pPr>
        <w:pStyle w:val="ListBullet"/>
        <w:numPr>
          <w:ilvl w:val="0"/>
          <w:numId w:val="2"/>
        </w:numPr>
        <w:spacing w:before="240" w:after="120" w:line="276" w:lineRule="auto"/>
        <w:ind w:left="425" w:hanging="425"/>
        <w:rPr>
          <w:rFonts w:ascii="Arial" w:eastAsia="Calibri" w:hAnsi="Arial" w:cs="Arial"/>
          <w:color w:val="auto"/>
          <w:szCs w:val="22"/>
        </w:rPr>
      </w:pPr>
      <w:r>
        <w:rPr>
          <w:rFonts w:ascii="Arial" w:eastAsia="Calibri" w:hAnsi="Arial" w:cs="Arial"/>
          <w:color w:val="auto"/>
          <w:szCs w:val="22"/>
        </w:rPr>
        <w:t>Due to ongoing concerns, a further referral to the Wound specialist was initiated, a month following identification of a stage 3 wound. The review queried dead tissue on the tendon.</w:t>
      </w:r>
    </w:p>
    <w:p w14:paraId="56C6E8E6" w14:textId="77777777" w:rsidR="00F71D93" w:rsidRDefault="00F71D93" w:rsidP="00F71D93">
      <w:pPr>
        <w:pStyle w:val="ListBullet"/>
        <w:numPr>
          <w:ilvl w:val="0"/>
          <w:numId w:val="0"/>
        </w:numPr>
        <w:spacing w:before="240" w:after="120" w:line="276" w:lineRule="auto"/>
        <w:rPr>
          <w:rFonts w:ascii="Arial" w:eastAsia="Calibri" w:hAnsi="Arial" w:cs="Arial"/>
          <w:color w:val="auto"/>
          <w:szCs w:val="22"/>
        </w:rPr>
      </w:pPr>
      <w:r w:rsidRPr="00625468">
        <w:rPr>
          <w:rFonts w:ascii="Arial" w:eastAsia="Calibri" w:hAnsi="Arial" w:cs="Arial"/>
          <w:color w:val="auto"/>
          <w:szCs w:val="22"/>
        </w:rPr>
        <w:t>Consumer B</w:t>
      </w:r>
    </w:p>
    <w:p w14:paraId="27E1B246" w14:textId="77777777" w:rsidR="00F71D93" w:rsidRPr="00994B94" w:rsidRDefault="00F71D93" w:rsidP="00F71D93">
      <w:pPr>
        <w:pStyle w:val="ListBullet"/>
        <w:numPr>
          <w:ilvl w:val="0"/>
          <w:numId w:val="2"/>
        </w:numPr>
        <w:spacing w:before="240" w:after="120" w:line="276" w:lineRule="auto"/>
        <w:ind w:left="425" w:hanging="425"/>
        <w:rPr>
          <w:rFonts w:ascii="Arial" w:eastAsia="Calibri" w:hAnsi="Arial" w:cs="Arial"/>
          <w:color w:val="auto"/>
          <w:szCs w:val="22"/>
        </w:rPr>
      </w:pPr>
      <w:r w:rsidRPr="00994B94">
        <w:rPr>
          <w:rFonts w:ascii="Arial" w:eastAsia="Calibri" w:hAnsi="Arial" w:cs="Arial"/>
          <w:color w:val="auto"/>
          <w:szCs w:val="22"/>
        </w:rPr>
        <w:t>The service did not demonstrate use of a psychotropic medication was as a last resort; alternative strategies had been trialled and commen</w:t>
      </w:r>
      <w:r>
        <w:rPr>
          <w:rFonts w:ascii="Arial" w:eastAsia="Calibri" w:hAnsi="Arial" w:cs="Arial"/>
          <w:color w:val="auto"/>
          <w:szCs w:val="22"/>
        </w:rPr>
        <w:t>c</w:t>
      </w:r>
      <w:r w:rsidRPr="00994B94">
        <w:rPr>
          <w:rFonts w:ascii="Arial" w:eastAsia="Calibri" w:hAnsi="Arial" w:cs="Arial"/>
          <w:color w:val="auto"/>
          <w:szCs w:val="22"/>
        </w:rPr>
        <w:t>ed prior to considering a restrictive practice; the medication had been used in the least restrictive form and for the shortest time needed; the consumer or nominated representative ha</w:t>
      </w:r>
      <w:r>
        <w:rPr>
          <w:rFonts w:ascii="Arial" w:eastAsia="Calibri" w:hAnsi="Arial" w:cs="Arial"/>
          <w:color w:val="auto"/>
          <w:szCs w:val="22"/>
        </w:rPr>
        <w:t>d</w:t>
      </w:r>
      <w:r w:rsidRPr="00994B94">
        <w:rPr>
          <w:rFonts w:ascii="Arial" w:eastAsia="Calibri" w:hAnsi="Arial" w:cs="Arial"/>
          <w:color w:val="auto"/>
          <w:szCs w:val="22"/>
        </w:rPr>
        <w:t xml:space="preserve"> given informed consent for the use; </w:t>
      </w:r>
      <w:r w:rsidRPr="00994B94">
        <w:rPr>
          <w:rFonts w:ascii="Arial" w:eastAsia="Calibri" w:hAnsi="Arial" w:cs="Arial"/>
          <w:color w:val="auto"/>
          <w:szCs w:val="22"/>
        </w:rPr>
        <w:lastRenderedPageBreak/>
        <w:t>the required documentation for use of a restrictive practice had been completed; and use had been monitored and regularly reviewed.</w:t>
      </w:r>
    </w:p>
    <w:p w14:paraId="1880DE6E" w14:textId="77777777" w:rsidR="00F71D93" w:rsidRPr="00C65511" w:rsidRDefault="00F71D93" w:rsidP="00F71D93">
      <w:pPr>
        <w:pStyle w:val="ListBullet"/>
        <w:numPr>
          <w:ilvl w:val="0"/>
          <w:numId w:val="2"/>
        </w:numPr>
        <w:spacing w:before="240" w:after="120" w:line="276" w:lineRule="auto"/>
        <w:ind w:left="425" w:hanging="425"/>
        <w:rPr>
          <w:rFonts w:ascii="Arial" w:eastAsia="Calibri" w:hAnsi="Arial" w:cs="Arial"/>
          <w:color w:val="auto"/>
          <w:szCs w:val="22"/>
        </w:rPr>
      </w:pPr>
      <w:r>
        <w:rPr>
          <w:rFonts w:ascii="Arial" w:eastAsia="Calibri" w:hAnsi="Arial" w:cs="Arial"/>
          <w:color w:val="auto"/>
          <w:szCs w:val="22"/>
        </w:rPr>
        <w:t xml:space="preserve">A hospital discharge letter dated February 2022 indicated the consumer had commenced on a regular psychotropic medication. The medication is being administered twice a day. </w:t>
      </w:r>
      <w:r w:rsidRPr="00DC7942">
        <w:rPr>
          <w:rFonts w:ascii="Arial" w:eastAsia="Calibri" w:hAnsi="Arial" w:cs="Arial"/>
          <w:color w:val="auto"/>
          <w:szCs w:val="22"/>
        </w:rPr>
        <w:t xml:space="preserve">Staff confirmed they had not considered restrictive practice consent or documentation, and had not charted or reviewed </w:t>
      </w:r>
      <w:r w:rsidRPr="00994B94">
        <w:rPr>
          <w:rFonts w:ascii="Arial" w:eastAsia="Calibri" w:hAnsi="Arial" w:cs="Arial"/>
          <w:color w:val="auto"/>
          <w:szCs w:val="22"/>
        </w:rPr>
        <w:t xml:space="preserve">the consumer’s </w:t>
      </w:r>
      <w:r w:rsidRPr="00DC7942">
        <w:rPr>
          <w:rFonts w:ascii="Arial" w:eastAsia="Calibri" w:hAnsi="Arial" w:cs="Arial"/>
          <w:color w:val="auto"/>
          <w:szCs w:val="22"/>
        </w:rPr>
        <w:t xml:space="preserve">behaviour for </w:t>
      </w:r>
      <w:r w:rsidRPr="00994B94">
        <w:rPr>
          <w:rFonts w:ascii="Arial" w:eastAsia="Calibri" w:hAnsi="Arial" w:cs="Arial"/>
          <w:color w:val="auto"/>
          <w:szCs w:val="22"/>
        </w:rPr>
        <w:t>six</w:t>
      </w:r>
      <w:r w:rsidRPr="00DC7942">
        <w:rPr>
          <w:rFonts w:ascii="Arial" w:eastAsia="Calibri" w:hAnsi="Arial" w:cs="Arial"/>
          <w:color w:val="auto"/>
          <w:szCs w:val="22"/>
        </w:rPr>
        <w:t xml:space="preserve"> months.</w:t>
      </w:r>
      <w:r>
        <w:rPr>
          <w:rFonts w:ascii="Arial" w:eastAsia="Calibri" w:hAnsi="Arial" w:cs="Arial"/>
          <w:color w:val="auto"/>
          <w:szCs w:val="22"/>
        </w:rPr>
        <w:t xml:space="preserve"> </w:t>
      </w:r>
      <w:r w:rsidRPr="00994B94">
        <w:rPr>
          <w:rFonts w:ascii="Arial" w:eastAsia="Calibri" w:hAnsi="Arial" w:cs="Arial"/>
          <w:color w:val="auto"/>
          <w:szCs w:val="22"/>
        </w:rPr>
        <w:t>In September 2022, s</w:t>
      </w:r>
      <w:r w:rsidRPr="00C65511">
        <w:rPr>
          <w:rFonts w:ascii="Arial" w:eastAsia="Calibri" w:hAnsi="Arial" w:cs="Arial"/>
          <w:color w:val="auto"/>
          <w:szCs w:val="22"/>
        </w:rPr>
        <w:t xml:space="preserve">taff recorded </w:t>
      </w:r>
      <w:r w:rsidRPr="00994B94">
        <w:rPr>
          <w:rFonts w:ascii="Arial" w:eastAsia="Calibri" w:hAnsi="Arial" w:cs="Arial"/>
          <w:color w:val="auto"/>
          <w:szCs w:val="22"/>
        </w:rPr>
        <w:t xml:space="preserve">the consumer had </w:t>
      </w:r>
      <w:r w:rsidRPr="00C65511">
        <w:rPr>
          <w:rFonts w:ascii="Arial" w:eastAsia="Calibri" w:hAnsi="Arial" w:cs="Arial"/>
          <w:color w:val="auto"/>
          <w:szCs w:val="22"/>
        </w:rPr>
        <w:t>no behaviours of concern and takes medications as charted.</w:t>
      </w:r>
    </w:p>
    <w:p w14:paraId="22E1E1E0" w14:textId="77777777" w:rsidR="00F71D93" w:rsidRPr="00C65511" w:rsidRDefault="00F71D93" w:rsidP="00F71D93">
      <w:pPr>
        <w:pStyle w:val="ListBullet"/>
        <w:numPr>
          <w:ilvl w:val="0"/>
          <w:numId w:val="2"/>
        </w:numPr>
        <w:spacing w:before="240" w:after="120" w:line="276" w:lineRule="auto"/>
        <w:ind w:left="425" w:hanging="425"/>
        <w:rPr>
          <w:rFonts w:ascii="Arial" w:eastAsia="Calibri" w:hAnsi="Arial" w:cs="Arial"/>
          <w:color w:val="auto"/>
          <w:szCs w:val="22"/>
        </w:rPr>
      </w:pPr>
      <w:r>
        <w:rPr>
          <w:rFonts w:ascii="Arial" w:eastAsia="Calibri" w:hAnsi="Arial" w:cs="Arial"/>
          <w:color w:val="auto"/>
          <w:szCs w:val="22"/>
        </w:rPr>
        <w:t xml:space="preserve">In July 2022, </w:t>
      </w:r>
      <w:r w:rsidRPr="00B140E3">
        <w:rPr>
          <w:rFonts w:ascii="Arial" w:eastAsia="Calibri" w:hAnsi="Arial" w:cs="Arial"/>
          <w:color w:val="auto"/>
          <w:szCs w:val="22"/>
        </w:rPr>
        <w:t xml:space="preserve">General practitioner notes indicate </w:t>
      </w:r>
      <w:r>
        <w:rPr>
          <w:rFonts w:ascii="Arial" w:eastAsia="Calibri" w:hAnsi="Arial" w:cs="Arial"/>
          <w:color w:val="auto"/>
          <w:szCs w:val="22"/>
        </w:rPr>
        <w:t xml:space="preserve">that </w:t>
      </w:r>
      <w:r w:rsidRPr="00B140E3">
        <w:rPr>
          <w:rFonts w:ascii="Arial" w:eastAsia="Calibri" w:hAnsi="Arial" w:cs="Arial"/>
          <w:color w:val="auto"/>
          <w:szCs w:val="22"/>
        </w:rPr>
        <w:t>the medication is for</w:t>
      </w:r>
      <w:r w:rsidRPr="00C65511">
        <w:rPr>
          <w:rFonts w:ascii="Arial" w:eastAsia="Calibri" w:hAnsi="Arial" w:cs="Arial"/>
          <w:color w:val="auto"/>
          <w:szCs w:val="22"/>
        </w:rPr>
        <w:t xml:space="preserve"> hallucinations </w:t>
      </w:r>
      <w:r w:rsidRPr="00B140E3">
        <w:rPr>
          <w:rFonts w:ascii="Arial" w:eastAsia="Calibri" w:hAnsi="Arial" w:cs="Arial"/>
          <w:color w:val="auto"/>
          <w:szCs w:val="22"/>
        </w:rPr>
        <w:t xml:space="preserve">and </w:t>
      </w:r>
      <w:r w:rsidRPr="00C65511">
        <w:rPr>
          <w:rFonts w:ascii="Arial" w:eastAsia="Calibri" w:hAnsi="Arial" w:cs="Arial"/>
          <w:color w:val="auto"/>
          <w:szCs w:val="22"/>
        </w:rPr>
        <w:t xml:space="preserve">that </w:t>
      </w:r>
      <w:r w:rsidRPr="00B140E3">
        <w:rPr>
          <w:rFonts w:ascii="Arial" w:eastAsia="Calibri" w:hAnsi="Arial" w:cs="Arial"/>
          <w:color w:val="auto"/>
          <w:szCs w:val="22"/>
        </w:rPr>
        <w:t>the consumer settles with the medication</w:t>
      </w:r>
      <w:r w:rsidRPr="00C65511">
        <w:rPr>
          <w:rFonts w:ascii="Arial" w:eastAsia="Calibri" w:hAnsi="Arial" w:cs="Arial"/>
          <w:color w:val="auto"/>
          <w:szCs w:val="22"/>
        </w:rPr>
        <w:t xml:space="preserve"> and in August 2022 </w:t>
      </w:r>
      <w:r w:rsidRPr="00B140E3">
        <w:rPr>
          <w:rFonts w:ascii="Arial" w:eastAsia="Calibri" w:hAnsi="Arial" w:cs="Arial"/>
          <w:color w:val="auto"/>
          <w:szCs w:val="22"/>
        </w:rPr>
        <w:t xml:space="preserve">that a </w:t>
      </w:r>
      <w:r w:rsidRPr="00C65511">
        <w:rPr>
          <w:rFonts w:ascii="Arial" w:eastAsia="Calibri" w:hAnsi="Arial" w:cs="Arial"/>
          <w:color w:val="auto"/>
          <w:szCs w:val="22"/>
        </w:rPr>
        <w:t>psychotropic medication review</w:t>
      </w:r>
      <w:r w:rsidRPr="00B140E3">
        <w:rPr>
          <w:rFonts w:ascii="Arial" w:eastAsia="Calibri" w:hAnsi="Arial" w:cs="Arial"/>
          <w:color w:val="auto"/>
          <w:szCs w:val="22"/>
        </w:rPr>
        <w:t xml:space="preserve"> is required and the consumer is</w:t>
      </w:r>
      <w:r w:rsidRPr="00C65511">
        <w:rPr>
          <w:rFonts w:ascii="Arial" w:eastAsia="Calibri" w:hAnsi="Arial" w:cs="Arial"/>
          <w:color w:val="auto"/>
          <w:szCs w:val="22"/>
        </w:rPr>
        <w:t xml:space="preserve"> stable at present.</w:t>
      </w:r>
    </w:p>
    <w:p w14:paraId="4EA325E4" w14:textId="77777777" w:rsidR="00F71D93" w:rsidRPr="00093093" w:rsidRDefault="00F71D93" w:rsidP="00F71D93">
      <w:pPr>
        <w:spacing w:line="276" w:lineRule="auto"/>
        <w:rPr>
          <w:rFonts w:ascii="Arial" w:eastAsia="Calibri" w:hAnsi="Arial" w:cs="Arial"/>
          <w:color w:val="auto"/>
          <w:szCs w:val="22"/>
        </w:rPr>
      </w:pPr>
      <w:r w:rsidRPr="00093093">
        <w:rPr>
          <w:rFonts w:ascii="Arial" w:eastAsia="Calibri" w:hAnsi="Arial" w:cs="Arial"/>
          <w:color w:val="auto"/>
          <w:szCs w:val="22"/>
        </w:rPr>
        <w:t xml:space="preserve">The </w:t>
      </w:r>
      <w:r w:rsidRPr="00444B13">
        <w:rPr>
          <w:rFonts w:ascii="Arial" w:eastAsia="Calibri" w:hAnsi="Arial" w:cs="Arial"/>
          <w:color w:val="auto"/>
          <w:szCs w:val="22"/>
        </w:rPr>
        <w:t>provider’s response included commentary, directly relating to the evidence in the Assessment Team’s report</w:t>
      </w:r>
      <w:r>
        <w:rPr>
          <w:rFonts w:ascii="Arial" w:eastAsia="Calibri" w:hAnsi="Arial" w:cs="Arial"/>
          <w:color w:val="auto"/>
          <w:szCs w:val="22"/>
        </w:rPr>
        <w:t>,</w:t>
      </w:r>
      <w:r w:rsidRPr="00444B13">
        <w:rPr>
          <w:rFonts w:ascii="Arial" w:eastAsia="Calibri" w:hAnsi="Arial" w:cs="Arial"/>
          <w:color w:val="auto"/>
          <w:szCs w:val="22"/>
        </w:rPr>
        <w:t xml:space="preserve"> and supporting documentation. Additionally, the provider’s response included actions, completed and ongoing, to address the deficits identified. The provider’s response included, but was not limited to</w:t>
      </w:r>
      <w:r w:rsidRPr="00093093">
        <w:rPr>
          <w:rFonts w:ascii="Arial" w:eastAsia="Calibri" w:hAnsi="Arial" w:cs="Arial"/>
          <w:color w:val="auto"/>
          <w:szCs w:val="22"/>
        </w:rPr>
        <w:t xml:space="preserve">: </w:t>
      </w:r>
    </w:p>
    <w:p w14:paraId="63F17BA9" w14:textId="77777777" w:rsidR="00F71D93" w:rsidRDefault="00F71D93" w:rsidP="00F71D93">
      <w:pPr>
        <w:pStyle w:val="ListBullet"/>
        <w:numPr>
          <w:ilvl w:val="0"/>
          <w:numId w:val="2"/>
        </w:numPr>
        <w:spacing w:before="240" w:after="120" w:line="276" w:lineRule="auto"/>
        <w:ind w:left="425" w:hanging="425"/>
      </w:pPr>
      <w:r w:rsidRPr="00444B13">
        <w:rPr>
          <w:rFonts w:ascii="Arial" w:eastAsia="Calibri" w:hAnsi="Arial" w:cs="Arial"/>
          <w:color w:val="auto"/>
          <w:szCs w:val="22"/>
        </w:rPr>
        <w:t xml:space="preserve">In relation to Consumer A, </w:t>
      </w:r>
      <w:r>
        <w:rPr>
          <w:rFonts w:ascii="Arial" w:eastAsia="Calibri" w:hAnsi="Arial" w:cs="Arial"/>
          <w:color w:val="auto"/>
          <w:szCs w:val="22"/>
        </w:rPr>
        <w:t xml:space="preserve">a </w:t>
      </w:r>
      <w:r w:rsidRPr="00444B13">
        <w:rPr>
          <w:rFonts w:ascii="Arial" w:eastAsia="Calibri" w:hAnsi="Arial" w:cs="Arial"/>
          <w:color w:val="auto"/>
          <w:szCs w:val="22"/>
        </w:rPr>
        <w:t xml:space="preserve">referral was required two days </w:t>
      </w:r>
      <w:r>
        <w:rPr>
          <w:rFonts w:ascii="Arial" w:eastAsia="Calibri" w:hAnsi="Arial" w:cs="Arial"/>
          <w:color w:val="auto"/>
          <w:szCs w:val="22"/>
        </w:rPr>
        <w:t>after identification</w:t>
      </w:r>
      <w:r w:rsidRPr="00444B13">
        <w:rPr>
          <w:rFonts w:ascii="Arial" w:eastAsia="Calibri" w:hAnsi="Arial" w:cs="Arial"/>
          <w:color w:val="auto"/>
          <w:szCs w:val="22"/>
        </w:rPr>
        <w:t>, however, the wound was being managed by the General practitioner throughout the period before review by the Wound specialist.</w:t>
      </w:r>
      <w:r>
        <w:t xml:space="preserve"> </w:t>
      </w:r>
    </w:p>
    <w:p w14:paraId="4221E872" w14:textId="77777777" w:rsidR="00F71D93" w:rsidRDefault="00F71D93" w:rsidP="00F71D93">
      <w:pPr>
        <w:pStyle w:val="ListBullet"/>
        <w:numPr>
          <w:ilvl w:val="0"/>
          <w:numId w:val="2"/>
        </w:numPr>
        <w:spacing w:before="240" w:after="120" w:line="276" w:lineRule="auto"/>
        <w:ind w:left="425" w:hanging="425"/>
      </w:pPr>
      <w:r w:rsidRPr="0056585B">
        <w:rPr>
          <w:rFonts w:ascii="Arial" w:eastAsia="Calibri" w:hAnsi="Arial" w:cs="Arial"/>
          <w:color w:val="auto"/>
          <w:szCs w:val="22"/>
        </w:rPr>
        <w:t xml:space="preserve">The wound management procedure has been reviewed, a private </w:t>
      </w:r>
      <w:r>
        <w:rPr>
          <w:rFonts w:ascii="Arial" w:eastAsia="Calibri" w:hAnsi="Arial" w:cs="Arial"/>
          <w:color w:val="auto"/>
          <w:szCs w:val="22"/>
        </w:rPr>
        <w:t>W</w:t>
      </w:r>
      <w:r w:rsidRPr="0056585B">
        <w:rPr>
          <w:rFonts w:ascii="Arial" w:eastAsia="Calibri" w:hAnsi="Arial" w:cs="Arial"/>
          <w:color w:val="auto"/>
          <w:szCs w:val="22"/>
        </w:rPr>
        <w:t>ound consultant is being sourced and wound management education, including a workshop</w:t>
      </w:r>
      <w:r>
        <w:rPr>
          <w:rFonts w:ascii="Arial" w:eastAsia="Calibri" w:hAnsi="Arial" w:cs="Arial"/>
          <w:color w:val="auto"/>
          <w:szCs w:val="22"/>
        </w:rPr>
        <w:t>,</w:t>
      </w:r>
      <w:r w:rsidRPr="0056585B">
        <w:rPr>
          <w:rFonts w:ascii="Arial" w:eastAsia="Calibri" w:hAnsi="Arial" w:cs="Arial"/>
          <w:color w:val="auto"/>
          <w:szCs w:val="22"/>
        </w:rPr>
        <w:t xml:space="preserve"> is scheduled for October 2022.</w:t>
      </w:r>
      <w:r>
        <w:t xml:space="preserve"> </w:t>
      </w:r>
    </w:p>
    <w:p w14:paraId="29DF4664" w14:textId="77777777" w:rsidR="00F71D93" w:rsidRDefault="00F71D93" w:rsidP="00F71D93">
      <w:pPr>
        <w:pStyle w:val="ListBullet"/>
        <w:numPr>
          <w:ilvl w:val="0"/>
          <w:numId w:val="2"/>
        </w:numPr>
        <w:spacing w:before="240" w:after="120" w:line="276" w:lineRule="auto"/>
        <w:ind w:left="425" w:hanging="425"/>
      </w:pPr>
      <w:r w:rsidRPr="0028034F">
        <w:rPr>
          <w:rFonts w:ascii="Arial" w:eastAsia="Calibri" w:hAnsi="Arial" w:cs="Arial"/>
          <w:color w:val="auto"/>
          <w:szCs w:val="22"/>
        </w:rPr>
        <w:t xml:space="preserve">In relation to Consumer B, a family conference has been undertaken </w:t>
      </w:r>
      <w:r>
        <w:rPr>
          <w:rFonts w:ascii="Arial" w:eastAsia="Calibri" w:hAnsi="Arial" w:cs="Arial"/>
          <w:color w:val="auto"/>
          <w:szCs w:val="22"/>
        </w:rPr>
        <w:t xml:space="preserve">to discuss the </w:t>
      </w:r>
      <w:r w:rsidRPr="0028034F">
        <w:rPr>
          <w:rFonts w:ascii="Arial" w:eastAsia="Calibri" w:hAnsi="Arial" w:cs="Arial"/>
          <w:color w:val="auto"/>
          <w:szCs w:val="22"/>
        </w:rPr>
        <w:t>use of the medication and a consent form completed. Progress notes were provided to demonstrate the General practitioner regularly reviews the medication, however, only the notation for August 2022, highlighted in the Assessment Team’s report</w:t>
      </w:r>
      <w:r>
        <w:rPr>
          <w:rFonts w:ascii="Arial" w:eastAsia="Calibri" w:hAnsi="Arial" w:cs="Arial"/>
          <w:color w:val="auto"/>
          <w:szCs w:val="22"/>
        </w:rPr>
        <w:t>,</w:t>
      </w:r>
      <w:r w:rsidRPr="0028034F">
        <w:rPr>
          <w:rFonts w:ascii="Arial" w:eastAsia="Calibri" w:hAnsi="Arial" w:cs="Arial"/>
          <w:color w:val="auto"/>
          <w:szCs w:val="22"/>
        </w:rPr>
        <w:t xml:space="preserve"> was provided.</w:t>
      </w:r>
      <w:r>
        <w:t xml:space="preserve"> </w:t>
      </w:r>
    </w:p>
    <w:p w14:paraId="759C3029" w14:textId="77777777" w:rsidR="00F71D93" w:rsidRDefault="00F71D93" w:rsidP="00F71D93">
      <w:pPr>
        <w:spacing w:line="276" w:lineRule="auto"/>
        <w:rPr>
          <w:rFonts w:ascii="Arial" w:eastAsia="Calibri" w:hAnsi="Arial" w:cs="Arial"/>
          <w:color w:val="auto"/>
          <w:szCs w:val="22"/>
        </w:rPr>
      </w:pPr>
      <w:r w:rsidRPr="00B4485B">
        <w:rPr>
          <w:rFonts w:ascii="Arial" w:eastAsia="Calibri" w:hAnsi="Arial" w:cs="Arial"/>
          <w:color w:val="auto"/>
          <w:szCs w:val="22"/>
        </w:rPr>
        <w:t xml:space="preserve">I acknowledge the provider’s response. However, I find at the time of the Assessment Contact, the service did not demonstrate effective management of high impact or high prevalence risks, specifically in relation to </w:t>
      </w:r>
      <w:r>
        <w:rPr>
          <w:rFonts w:ascii="Arial" w:eastAsia="Calibri" w:hAnsi="Arial" w:cs="Arial"/>
          <w:color w:val="auto"/>
          <w:szCs w:val="22"/>
        </w:rPr>
        <w:t>Consumer A’s wound</w:t>
      </w:r>
      <w:r w:rsidRPr="00B4485B">
        <w:rPr>
          <w:rFonts w:ascii="Arial" w:eastAsia="Calibri" w:hAnsi="Arial" w:cs="Arial"/>
          <w:color w:val="auto"/>
          <w:szCs w:val="22"/>
        </w:rPr>
        <w:t>.</w:t>
      </w:r>
    </w:p>
    <w:p w14:paraId="03F079D4" w14:textId="77777777" w:rsidR="00F71D93" w:rsidRDefault="00F71D93" w:rsidP="00F71D93">
      <w:pPr>
        <w:spacing w:before="240" w:line="276" w:lineRule="auto"/>
        <w:rPr>
          <w:rFonts w:ascii="Arial" w:hAnsi="Arial" w:cs="Arial"/>
          <w:color w:val="auto"/>
          <w:lang w:eastAsia="en-AU"/>
        </w:rPr>
      </w:pPr>
      <w:r>
        <w:rPr>
          <w:rFonts w:ascii="Arial" w:hAnsi="Arial" w:cs="Arial"/>
          <w:color w:val="auto"/>
          <w:lang w:eastAsia="en-AU"/>
        </w:rPr>
        <w:t>I acknowledge the provider’s response indicating Consumer A’s wound was being monitored by the General practitioner. However, i</w:t>
      </w:r>
      <w:r w:rsidRPr="00814B4D">
        <w:rPr>
          <w:rFonts w:ascii="Arial" w:hAnsi="Arial" w:cs="Arial"/>
          <w:color w:val="auto"/>
          <w:lang w:eastAsia="en-AU"/>
        </w:rPr>
        <w:t xml:space="preserve">n coming to my finding, I have considered that </w:t>
      </w:r>
      <w:r>
        <w:rPr>
          <w:rFonts w:ascii="Arial" w:hAnsi="Arial" w:cs="Arial"/>
          <w:color w:val="auto"/>
          <w:lang w:eastAsia="en-AU"/>
        </w:rPr>
        <w:t xml:space="preserve">while Consumer A’s wound was noted to have deteriorated two days after identification, and continued to deteriorate for up to 18 days after identification, review by a Wound specialist was not sought for approximately three weeks after deterioration was identified and indicated a tendon was exposed. I have also considered that the service did not ensure appropriate review of the wound was undertaken by the Wound specialist, with a photograph and not the actual wound being viewed. I find that this did not ensure an accurate assessment of the wound was undertaken to enable a tailored treatment plan, aimed at preventing further deterioration and aid </w:t>
      </w:r>
      <w:r>
        <w:rPr>
          <w:rFonts w:ascii="Arial" w:hAnsi="Arial" w:cs="Arial"/>
          <w:color w:val="auto"/>
          <w:lang w:eastAsia="en-AU"/>
        </w:rPr>
        <w:lastRenderedPageBreak/>
        <w:t xml:space="preserve">healing was implemented. As a result, a further Wound specialist review was sought a month later, at which time dead tendon tissue was queried.  </w:t>
      </w:r>
    </w:p>
    <w:p w14:paraId="3B7E60E7" w14:textId="77777777" w:rsidR="00F71D93" w:rsidRDefault="00F71D93" w:rsidP="00F71D93">
      <w:pPr>
        <w:spacing w:before="240" w:line="276" w:lineRule="auto"/>
        <w:rPr>
          <w:rFonts w:ascii="Arial" w:hAnsi="Arial" w:cs="Arial"/>
          <w:color w:val="auto"/>
          <w:lang w:eastAsia="en-AU"/>
        </w:rPr>
      </w:pPr>
      <w:r>
        <w:rPr>
          <w:rFonts w:ascii="Arial" w:hAnsi="Arial" w:cs="Arial"/>
          <w:color w:val="auto"/>
          <w:lang w:eastAsia="en-AU"/>
        </w:rPr>
        <w:t xml:space="preserve">In relation to Consumer B, I find the evidence presented does not indicate the consumer’s behaviours were not managed or that they impacted other consumers, in line with the intent of Requirement (3)(b). As such, I find the evidence presented aligns with Requirement (3)(a) in Standard 3. I have considered that the medication was prescribed while the consumer was in hospital and has continued to be administered on a regular basis since entry to the service. However, there was no evidence to indicate that the risks associated with use of the medication had been discussed with the consumer or representative since entry or consent obtained, behaviours had not been charted or reviewed for approximately six months and while General practitioner notations indicated </w:t>
      </w:r>
      <w:r w:rsidRPr="00B140E3">
        <w:rPr>
          <w:rFonts w:ascii="Arial" w:eastAsia="Calibri" w:hAnsi="Arial" w:cs="Arial"/>
          <w:color w:val="auto"/>
          <w:szCs w:val="22"/>
        </w:rPr>
        <w:t xml:space="preserve">that a </w:t>
      </w:r>
      <w:r w:rsidRPr="00C65511">
        <w:rPr>
          <w:rFonts w:ascii="Arial" w:eastAsia="Calibri" w:hAnsi="Arial" w:cs="Arial"/>
          <w:color w:val="auto"/>
          <w:szCs w:val="22"/>
        </w:rPr>
        <w:t>psychotropic medication review</w:t>
      </w:r>
      <w:r w:rsidRPr="00B140E3">
        <w:rPr>
          <w:rFonts w:ascii="Arial" w:eastAsia="Calibri" w:hAnsi="Arial" w:cs="Arial"/>
          <w:color w:val="auto"/>
          <w:szCs w:val="22"/>
        </w:rPr>
        <w:t xml:space="preserve"> </w:t>
      </w:r>
      <w:r>
        <w:rPr>
          <w:rFonts w:ascii="Arial" w:eastAsia="Calibri" w:hAnsi="Arial" w:cs="Arial"/>
          <w:color w:val="auto"/>
          <w:szCs w:val="22"/>
        </w:rPr>
        <w:t>was</w:t>
      </w:r>
      <w:r w:rsidRPr="00B140E3">
        <w:rPr>
          <w:rFonts w:ascii="Arial" w:eastAsia="Calibri" w:hAnsi="Arial" w:cs="Arial"/>
          <w:color w:val="auto"/>
          <w:szCs w:val="22"/>
        </w:rPr>
        <w:t xml:space="preserve"> required</w:t>
      </w:r>
      <w:r>
        <w:rPr>
          <w:rFonts w:ascii="Arial" w:eastAsia="Calibri" w:hAnsi="Arial" w:cs="Arial"/>
          <w:color w:val="auto"/>
          <w:szCs w:val="22"/>
        </w:rPr>
        <w:t xml:space="preserve">, there was no evidence to indicate regular review and monitoring of the medication had occurred. As such, I would encourage the service to review assessment, monitoring and review processes associated with use of restrictive practices. </w:t>
      </w:r>
    </w:p>
    <w:p w14:paraId="7A58622B" w14:textId="77777777" w:rsidR="00F71D93" w:rsidRPr="00EB3DA1" w:rsidRDefault="00F71D93" w:rsidP="00F71D93">
      <w:pPr>
        <w:tabs>
          <w:tab w:val="right" w:pos="9026"/>
        </w:tabs>
        <w:spacing w:before="240" w:line="276" w:lineRule="auto"/>
        <w:rPr>
          <w:rFonts w:ascii="Arial" w:eastAsia="Times New Roman" w:hAnsi="Arial" w:cs="Arial"/>
          <w:color w:val="auto"/>
          <w:lang w:eastAsia="en-AU"/>
        </w:rPr>
      </w:pPr>
      <w:r w:rsidRPr="00095434">
        <w:rPr>
          <w:rFonts w:ascii="Arial" w:eastAsia="Times New Roman" w:hAnsi="Arial" w:cs="Arial"/>
          <w:color w:val="auto"/>
          <w:lang w:eastAsia="en-AU"/>
        </w:rPr>
        <w:t xml:space="preserve">For the reasons detailed above, </w:t>
      </w:r>
      <w:r w:rsidRPr="00095434">
        <w:rPr>
          <w:rFonts w:ascii="Arial" w:hAnsi="Arial" w:cs="Arial"/>
          <w:color w:val="auto"/>
          <w:lang w:eastAsia="en-AU"/>
        </w:rPr>
        <w:t>I find Requirement (3)(b) in Standard 3 Personal care and clinical care Non-compliant.</w:t>
      </w:r>
    </w:p>
    <w:p w14:paraId="1C227153" w14:textId="3BDA0844" w:rsidR="00117022" w:rsidRPr="00712752" w:rsidRDefault="00FB5946" w:rsidP="00F71D93">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27160" w14:textId="77777777" w:rsidR="00F32C2A" w:rsidRDefault="00F71D93">
      <w:pPr>
        <w:spacing w:after="0"/>
      </w:pPr>
      <w:r>
        <w:separator/>
      </w:r>
    </w:p>
  </w:endnote>
  <w:endnote w:type="continuationSeparator" w:id="0">
    <w:p w14:paraId="1C227162" w14:textId="77777777" w:rsidR="00F32C2A" w:rsidRDefault="00F71D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7159" w14:textId="77777777" w:rsidR="00DF37F2" w:rsidRPr="00DF37F2" w:rsidRDefault="00F71D93" w:rsidP="00DF37F2">
    <w:pPr>
      <w:pStyle w:val="FooterArial9"/>
      <w:rPr>
        <w:rStyle w:val="FooterBold"/>
        <w:rFonts w:ascii="Arial" w:hAnsi="Arial"/>
        <w:b w:val="0"/>
      </w:rPr>
    </w:pPr>
    <w:r w:rsidRPr="00DF37F2">
      <w:rPr>
        <w:rStyle w:val="FooterBold"/>
        <w:rFonts w:ascii="Arial" w:hAnsi="Arial"/>
        <w:b w:val="0"/>
      </w:rPr>
      <w:t>Name of service: Osboine Contemporary Aged Care</w:t>
    </w:r>
    <w:r w:rsidRPr="00DF37F2">
      <w:rPr>
        <w:rStyle w:val="FooterBold"/>
        <w:rFonts w:ascii="Arial" w:hAnsi="Arial"/>
        <w:b w:val="0"/>
      </w:rPr>
      <w:tab/>
      <w:t xml:space="preserve">RPT-ACC-0122 v3.0 </w:t>
    </w:r>
  </w:p>
  <w:p w14:paraId="1C22715A" w14:textId="77777777" w:rsidR="00DF37F2" w:rsidRPr="00DF37F2" w:rsidRDefault="00F71D93" w:rsidP="00DF37F2">
    <w:pPr>
      <w:pStyle w:val="FooterArial9"/>
      <w:rPr>
        <w:rStyle w:val="FooterBold"/>
        <w:rFonts w:ascii="Arial" w:hAnsi="Arial"/>
        <w:b w:val="0"/>
      </w:rPr>
    </w:pPr>
    <w:r w:rsidRPr="00DF37F2">
      <w:rPr>
        <w:rStyle w:val="FooterBold"/>
        <w:rFonts w:ascii="Arial" w:hAnsi="Arial"/>
        <w:b w:val="0"/>
      </w:rPr>
      <w:t>Commission ID: 7274</w:t>
    </w:r>
    <w:r w:rsidRPr="00DF37F2">
      <w:rPr>
        <w:rStyle w:val="FooterBold"/>
        <w:rFonts w:ascii="Arial" w:hAnsi="Arial"/>
        <w:b w:val="0"/>
      </w:rPr>
      <w:tab/>
      <w:t xml:space="preserve">OFFICIAL: Sensitive </w:t>
    </w:r>
  </w:p>
  <w:p w14:paraId="1C22715B" w14:textId="77777777" w:rsidR="00DF37F2" w:rsidRPr="00DF37F2" w:rsidRDefault="00F71D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715D" w14:textId="77777777" w:rsidR="00E2364A" w:rsidRDefault="00FB59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27156" w14:textId="77777777" w:rsidR="00D3157C" w:rsidRDefault="00F71D93" w:rsidP="00D71F88">
      <w:pPr>
        <w:spacing w:after="0"/>
      </w:pPr>
      <w:r>
        <w:separator/>
      </w:r>
    </w:p>
  </w:footnote>
  <w:footnote w:type="continuationSeparator" w:id="0">
    <w:p w14:paraId="1C227157" w14:textId="77777777" w:rsidR="00D3157C" w:rsidRDefault="00F71D93" w:rsidP="00D71F88">
      <w:pPr>
        <w:spacing w:after="0"/>
      </w:pPr>
      <w:r>
        <w:continuationSeparator/>
      </w:r>
    </w:p>
  </w:footnote>
  <w:footnote w:id="1">
    <w:p w14:paraId="5CB86B96" w14:textId="77777777" w:rsidR="00F71D93" w:rsidRDefault="00F71D93" w:rsidP="00F71D9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625D4">
        <w:rPr>
          <w:rFonts w:ascii="Arial" w:hAnsi="Arial" w:cs="Arial"/>
          <w:color w:val="auto"/>
          <w:sz w:val="20"/>
          <w:szCs w:val="20"/>
        </w:rPr>
        <w:t>68A</w:t>
      </w:r>
      <w:r w:rsidRPr="006625D4">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2A044FF5" w14:textId="77777777" w:rsidR="00F71D93" w:rsidRDefault="00F71D93" w:rsidP="00F71D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7158" w14:textId="77777777" w:rsidR="00D71F88" w:rsidRDefault="00F71D93">
    <w:pPr>
      <w:pStyle w:val="Header"/>
    </w:pPr>
    <w:r>
      <w:rPr>
        <w:noProof/>
        <w:color w:val="2B579A"/>
        <w:shd w:val="clear" w:color="auto" w:fill="E6E6E6"/>
        <w:lang w:val="en-US"/>
      </w:rPr>
      <w:drawing>
        <wp:anchor distT="0" distB="0" distL="114300" distR="114300" simplePos="0" relativeHeight="251659264" behindDoc="1" locked="0" layoutInCell="1" allowOverlap="1" wp14:anchorId="1C22715E" wp14:editId="1C22715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84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715C" w14:textId="77777777" w:rsidR="00FA0A5B" w:rsidRDefault="00F71D93">
    <w:pPr>
      <w:pStyle w:val="Header"/>
    </w:pPr>
    <w:r>
      <w:rPr>
        <w:noProof/>
      </w:rPr>
      <w:drawing>
        <wp:anchor distT="0" distB="0" distL="114300" distR="114300" simplePos="0" relativeHeight="251658240" behindDoc="0" locked="0" layoutInCell="1" allowOverlap="1" wp14:anchorId="1C227160" wp14:editId="1C2271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4C6252">
      <w:start w:val="1"/>
      <w:numFmt w:val="lowerRoman"/>
      <w:lvlText w:val="(%1)"/>
      <w:lvlJc w:val="left"/>
      <w:pPr>
        <w:ind w:left="1080" w:hanging="720"/>
      </w:pPr>
      <w:rPr>
        <w:rFonts w:hint="default"/>
      </w:rPr>
    </w:lvl>
    <w:lvl w:ilvl="1" w:tplc="4D0406EA" w:tentative="1">
      <w:start w:val="1"/>
      <w:numFmt w:val="lowerLetter"/>
      <w:lvlText w:val="%2."/>
      <w:lvlJc w:val="left"/>
      <w:pPr>
        <w:ind w:left="1440" w:hanging="360"/>
      </w:pPr>
    </w:lvl>
    <w:lvl w:ilvl="2" w:tplc="9574186A" w:tentative="1">
      <w:start w:val="1"/>
      <w:numFmt w:val="lowerRoman"/>
      <w:lvlText w:val="%3."/>
      <w:lvlJc w:val="right"/>
      <w:pPr>
        <w:ind w:left="2160" w:hanging="180"/>
      </w:pPr>
    </w:lvl>
    <w:lvl w:ilvl="3" w:tplc="0854CA70" w:tentative="1">
      <w:start w:val="1"/>
      <w:numFmt w:val="decimal"/>
      <w:lvlText w:val="%4."/>
      <w:lvlJc w:val="left"/>
      <w:pPr>
        <w:ind w:left="2880" w:hanging="360"/>
      </w:pPr>
    </w:lvl>
    <w:lvl w:ilvl="4" w:tplc="A98A9796" w:tentative="1">
      <w:start w:val="1"/>
      <w:numFmt w:val="lowerLetter"/>
      <w:lvlText w:val="%5."/>
      <w:lvlJc w:val="left"/>
      <w:pPr>
        <w:ind w:left="3600" w:hanging="360"/>
      </w:pPr>
    </w:lvl>
    <w:lvl w:ilvl="5" w:tplc="C5A8317A" w:tentative="1">
      <w:start w:val="1"/>
      <w:numFmt w:val="lowerRoman"/>
      <w:lvlText w:val="%6."/>
      <w:lvlJc w:val="right"/>
      <w:pPr>
        <w:ind w:left="4320" w:hanging="180"/>
      </w:pPr>
    </w:lvl>
    <w:lvl w:ilvl="6" w:tplc="85C6826C" w:tentative="1">
      <w:start w:val="1"/>
      <w:numFmt w:val="decimal"/>
      <w:lvlText w:val="%7."/>
      <w:lvlJc w:val="left"/>
      <w:pPr>
        <w:ind w:left="5040" w:hanging="360"/>
      </w:pPr>
    </w:lvl>
    <w:lvl w:ilvl="7" w:tplc="FEACD4A0" w:tentative="1">
      <w:start w:val="1"/>
      <w:numFmt w:val="lowerLetter"/>
      <w:lvlText w:val="%8."/>
      <w:lvlJc w:val="left"/>
      <w:pPr>
        <w:ind w:left="5760" w:hanging="360"/>
      </w:pPr>
    </w:lvl>
    <w:lvl w:ilvl="8" w:tplc="B16640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4A0AFD0">
      <w:start w:val="1"/>
      <w:numFmt w:val="lowerRoman"/>
      <w:lvlText w:val="(%1)"/>
      <w:lvlJc w:val="left"/>
      <w:pPr>
        <w:ind w:left="1080" w:hanging="720"/>
      </w:pPr>
      <w:rPr>
        <w:rFonts w:hint="default"/>
      </w:rPr>
    </w:lvl>
    <w:lvl w:ilvl="1" w:tplc="4D7610CA" w:tentative="1">
      <w:start w:val="1"/>
      <w:numFmt w:val="lowerLetter"/>
      <w:lvlText w:val="%2."/>
      <w:lvlJc w:val="left"/>
      <w:pPr>
        <w:ind w:left="1440" w:hanging="360"/>
      </w:pPr>
    </w:lvl>
    <w:lvl w:ilvl="2" w:tplc="630641FC" w:tentative="1">
      <w:start w:val="1"/>
      <w:numFmt w:val="lowerRoman"/>
      <w:lvlText w:val="%3."/>
      <w:lvlJc w:val="right"/>
      <w:pPr>
        <w:ind w:left="2160" w:hanging="180"/>
      </w:pPr>
    </w:lvl>
    <w:lvl w:ilvl="3" w:tplc="B470A184" w:tentative="1">
      <w:start w:val="1"/>
      <w:numFmt w:val="decimal"/>
      <w:lvlText w:val="%4."/>
      <w:lvlJc w:val="left"/>
      <w:pPr>
        <w:ind w:left="2880" w:hanging="360"/>
      </w:pPr>
    </w:lvl>
    <w:lvl w:ilvl="4" w:tplc="C65A15FC" w:tentative="1">
      <w:start w:val="1"/>
      <w:numFmt w:val="lowerLetter"/>
      <w:lvlText w:val="%5."/>
      <w:lvlJc w:val="left"/>
      <w:pPr>
        <w:ind w:left="3600" w:hanging="360"/>
      </w:pPr>
    </w:lvl>
    <w:lvl w:ilvl="5" w:tplc="C76E4DAA" w:tentative="1">
      <w:start w:val="1"/>
      <w:numFmt w:val="lowerRoman"/>
      <w:lvlText w:val="%6."/>
      <w:lvlJc w:val="right"/>
      <w:pPr>
        <w:ind w:left="4320" w:hanging="180"/>
      </w:pPr>
    </w:lvl>
    <w:lvl w:ilvl="6" w:tplc="ED7AEBD8" w:tentative="1">
      <w:start w:val="1"/>
      <w:numFmt w:val="decimal"/>
      <w:lvlText w:val="%7."/>
      <w:lvlJc w:val="left"/>
      <w:pPr>
        <w:ind w:left="5040" w:hanging="360"/>
      </w:pPr>
    </w:lvl>
    <w:lvl w:ilvl="7" w:tplc="6A3CEC98" w:tentative="1">
      <w:start w:val="1"/>
      <w:numFmt w:val="lowerLetter"/>
      <w:lvlText w:val="%8."/>
      <w:lvlJc w:val="left"/>
      <w:pPr>
        <w:ind w:left="5760" w:hanging="360"/>
      </w:pPr>
    </w:lvl>
    <w:lvl w:ilvl="8" w:tplc="1870CC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4A4AD70">
      <w:start w:val="1"/>
      <w:numFmt w:val="lowerRoman"/>
      <w:lvlText w:val="(%1)"/>
      <w:lvlJc w:val="left"/>
      <w:pPr>
        <w:ind w:left="1080" w:hanging="720"/>
      </w:pPr>
      <w:rPr>
        <w:rFonts w:hint="default"/>
      </w:rPr>
    </w:lvl>
    <w:lvl w:ilvl="1" w:tplc="42AE9E1E" w:tentative="1">
      <w:start w:val="1"/>
      <w:numFmt w:val="lowerLetter"/>
      <w:lvlText w:val="%2."/>
      <w:lvlJc w:val="left"/>
      <w:pPr>
        <w:ind w:left="1440" w:hanging="360"/>
      </w:pPr>
    </w:lvl>
    <w:lvl w:ilvl="2" w:tplc="4B1E1D30" w:tentative="1">
      <w:start w:val="1"/>
      <w:numFmt w:val="lowerRoman"/>
      <w:lvlText w:val="%3."/>
      <w:lvlJc w:val="right"/>
      <w:pPr>
        <w:ind w:left="2160" w:hanging="180"/>
      </w:pPr>
    </w:lvl>
    <w:lvl w:ilvl="3" w:tplc="FC82CECA" w:tentative="1">
      <w:start w:val="1"/>
      <w:numFmt w:val="decimal"/>
      <w:lvlText w:val="%4."/>
      <w:lvlJc w:val="left"/>
      <w:pPr>
        <w:ind w:left="2880" w:hanging="360"/>
      </w:pPr>
    </w:lvl>
    <w:lvl w:ilvl="4" w:tplc="D7068802" w:tentative="1">
      <w:start w:val="1"/>
      <w:numFmt w:val="lowerLetter"/>
      <w:lvlText w:val="%5."/>
      <w:lvlJc w:val="left"/>
      <w:pPr>
        <w:ind w:left="3600" w:hanging="360"/>
      </w:pPr>
    </w:lvl>
    <w:lvl w:ilvl="5" w:tplc="198A310A" w:tentative="1">
      <w:start w:val="1"/>
      <w:numFmt w:val="lowerRoman"/>
      <w:lvlText w:val="%6."/>
      <w:lvlJc w:val="right"/>
      <w:pPr>
        <w:ind w:left="4320" w:hanging="180"/>
      </w:pPr>
    </w:lvl>
    <w:lvl w:ilvl="6" w:tplc="B32C3DB2" w:tentative="1">
      <w:start w:val="1"/>
      <w:numFmt w:val="decimal"/>
      <w:lvlText w:val="%7."/>
      <w:lvlJc w:val="left"/>
      <w:pPr>
        <w:ind w:left="5040" w:hanging="360"/>
      </w:pPr>
    </w:lvl>
    <w:lvl w:ilvl="7" w:tplc="4C1ADB14" w:tentative="1">
      <w:start w:val="1"/>
      <w:numFmt w:val="lowerLetter"/>
      <w:lvlText w:val="%8."/>
      <w:lvlJc w:val="left"/>
      <w:pPr>
        <w:ind w:left="5760" w:hanging="360"/>
      </w:pPr>
    </w:lvl>
    <w:lvl w:ilvl="8" w:tplc="4A02AA3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CE42838">
      <w:start w:val="1"/>
      <w:numFmt w:val="bullet"/>
      <w:lvlText w:val=""/>
      <w:lvlJc w:val="left"/>
      <w:pPr>
        <w:ind w:left="720" w:hanging="360"/>
      </w:pPr>
      <w:rPr>
        <w:rFonts w:ascii="Symbol" w:hAnsi="Symbol" w:hint="default"/>
        <w:color w:val="auto"/>
        <w:sz w:val="24"/>
        <w:szCs w:val="24"/>
      </w:rPr>
    </w:lvl>
    <w:lvl w:ilvl="1" w:tplc="33BAAD74" w:tentative="1">
      <w:start w:val="1"/>
      <w:numFmt w:val="bullet"/>
      <w:lvlText w:val="o"/>
      <w:lvlJc w:val="left"/>
      <w:pPr>
        <w:ind w:left="1440" w:hanging="360"/>
      </w:pPr>
      <w:rPr>
        <w:rFonts w:ascii="Courier New" w:hAnsi="Courier New" w:cs="Courier New" w:hint="default"/>
      </w:rPr>
    </w:lvl>
    <w:lvl w:ilvl="2" w:tplc="CDF6E004" w:tentative="1">
      <w:start w:val="1"/>
      <w:numFmt w:val="bullet"/>
      <w:lvlText w:val=""/>
      <w:lvlJc w:val="left"/>
      <w:pPr>
        <w:ind w:left="2160" w:hanging="360"/>
      </w:pPr>
      <w:rPr>
        <w:rFonts w:ascii="Wingdings" w:hAnsi="Wingdings" w:hint="default"/>
      </w:rPr>
    </w:lvl>
    <w:lvl w:ilvl="3" w:tplc="8F22AE4C" w:tentative="1">
      <w:start w:val="1"/>
      <w:numFmt w:val="bullet"/>
      <w:lvlText w:val=""/>
      <w:lvlJc w:val="left"/>
      <w:pPr>
        <w:ind w:left="2880" w:hanging="360"/>
      </w:pPr>
      <w:rPr>
        <w:rFonts w:ascii="Symbol" w:hAnsi="Symbol" w:hint="default"/>
      </w:rPr>
    </w:lvl>
    <w:lvl w:ilvl="4" w:tplc="06622BF6" w:tentative="1">
      <w:start w:val="1"/>
      <w:numFmt w:val="bullet"/>
      <w:lvlText w:val="o"/>
      <w:lvlJc w:val="left"/>
      <w:pPr>
        <w:ind w:left="3600" w:hanging="360"/>
      </w:pPr>
      <w:rPr>
        <w:rFonts w:ascii="Courier New" w:hAnsi="Courier New" w:cs="Courier New" w:hint="default"/>
      </w:rPr>
    </w:lvl>
    <w:lvl w:ilvl="5" w:tplc="E66431EA" w:tentative="1">
      <w:start w:val="1"/>
      <w:numFmt w:val="bullet"/>
      <w:lvlText w:val=""/>
      <w:lvlJc w:val="left"/>
      <w:pPr>
        <w:ind w:left="4320" w:hanging="360"/>
      </w:pPr>
      <w:rPr>
        <w:rFonts w:ascii="Wingdings" w:hAnsi="Wingdings" w:hint="default"/>
      </w:rPr>
    </w:lvl>
    <w:lvl w:ilvl="6" w:tplc="656C4476" w:tentative="1">
      <w:start w:val="1"/>
      <w:numFmt w:val="bullet"/>
      <w:lvlText w:val=""/>
      <w:lvlJc w:val="left"/>
      <w:pPr>
        <w:ind w:left="5040" w:hanging="360"/>
      </w:pPr>
      <w:rPr>
        <w:rFonts w:ascii="Symbol" w:hAnsi="Symbol" w:hint="default"/>
      </w:rPr>
    </w:lvl>
    <w:lvl w:ilvl="7" w:tplc="DF3C7A78" w:tentative="1">
      <w:start w:val="1"/>
      <w:numFmt w:val="bullet"/>
      <w:lvlText w:val="o"/>
      <w:lvlJc w:val="left"/>
      <w:pPr>
        <w:ind w:left="5760" w:hanging="360"/>
      </w:pPr>
      <w:rPr>
        <w:rFonts w:ascii="Courier New" w:hAnsi="Courier New" w:cs="Courier New" w:hint="default"/>
      </w:rPr>
    </w:lvl>
    <w:lvl w:ilvl="8" w:tplc="BC88360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DCC9E4C">
      <w:start w:val="1"/>
      <w:numFmt w:val="lowerRoman"/>
      <w:lvlText w:val="(%1)"/>
      <w:lvlJc w:val="left"/>
      <w:pPr>
        <w:ind w:left="1080" w:hanging="720"/>
      </w:pPr>
      <w:rPr>
        <w:rFonts w:hint="default"/>
      </w:rPr>
    </w:lvl>
    <w:lvl w:ilvl="1" w:tplc="7BD89F5C" w:tentative="1">
      <w:start w:val="1"/>
      <w:numFmt w:val="lowerLetter"/>
      <w:lvlText w:val="%2."/>
      <w:lvlJc w:val="left"/>
      <w:pPr>
        <w:ind w:left="1440" w:hanging="360"/>
      </w:pPr>
    </w:lvl>
    <w:lvl w:ilvl="2" w:tplc="1F3A4B6C" w:tentative="1">
      <w:start w:val="1"/>
      <w:numFmt w:val="lowerRoman"/>
      <w:lvlText w:val="%3."/>
      <w:lvlJc w:val="right"/>
      <w:pPr>
        <w:ind w:left="2160" w:hanging="180"/>
      </w:pPr>
    </w:lvl>
    <w:lvl w:ilvl="3" w:tplc="ED8CBD66" w:tentative="1">
      <w:start w:val="1"/>
      <w:numFmt w:val="decimal"/>
      <w:lvlText w:val="%4."/>
      <w:lvlJc w:val="left"/>
      <w:pPr>
        <w:ind w:left="2880" w:hanging="360"/>
      </w:pPr>
    </w:lvl>
    <w:lvl w:ilvl="4" w:tplc="85466B16" w:tentative="1">
      <w:start w:val="1"/>
      <w:numFmt w:val="lowerLetter"/>
      <w:lvlText w:val="%5."/>
      <w:lvlJc w:val="left"/>
      <w:pPr>
        <w:ind w:left="3600" w:hanging="360"/>
      </w:pPr>
    </w:lvl>
    <w:lvl w:ilvl="5" w:tplc="BAAA94E4" w:tentative="1">
      <w:start w:val="1"/>
      <w:numFmt w:val="lowerRoman"/>
      <w:lvlText w:val="%6."/>
      <w:lvlJc w:val="right"/>
      <w:pPr>
        <w:ind w:left="4320" w:hanging="180"/>
      </w:pPr>
    </w:lvl>
    <w:lvl w:ilvl="6" w:tplc="6E7A9756" w:tentative="1">
      <w:start w:val="1"/>
      <w:numFmt w:val="decimal"/>
      <w:lvlText w:val="%7."/>
      <w:lvlJc w:val="left"/>
      <w:pPr>
        <w:ind w:left="5040" w:hanging="360"/>
      </w:pPr>
    </w:lvl>
    <w:lvl w:ilvl="7" w:tplc="324AB9D2" w:tentative="1">
      <w:start w:val="1"/>
      <w:numFmt w:val="lowerLetter"/>
      <w:lvlText w:val="%8."/>
      <w:lvlJc w:val="left"/>
      <w:pPr>
        <w:ind w:left="5760" w:hanging="360"/>
      </w:pPr>
    </w:lvl>
    <w:lvl w:ilvl="8" w:tplc="2BB07F9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BB23F6E">
      <w:start w:val="1"/>
      <w:numFmt w:val="lowerRoman"/>
      <w:lvlText w:val="(%1)"/>
      <w:lvlJc w:val="left"/>
      <w:pPr>
        <w:ind w:left="1080" w:hanging="720"/>
      </w:pPr>
      <w:rPr>
        <w:rFonts w:hint="default"/>
      </w:rPr>
    </w:lvl>
    <w:lvl w:ilvl="1" w:tplc="A924727A" w:tentative="1">
      <w:start w:val="1"/>
      <w:numFmt w:val="lowerLetter"/>
      <w:lvlText w:val="%2."/>
      <w:lvlJc w:val="left"/>
      <w:pPr>
        <w:ind w:left="1440" w:hanging="360"/>
      </w:pPr>
    </w:lvl>
    <w:lvl w:ilvl="2" w:tplc="0D886AB6" w:tentative="1">
      <w:start w:val="1"/>
      <w:numFmt w:val="lowerRoman"/>
      <w:lvlText w:val="%3."/>
      <w:lvlJc w:val="right"/>
      <w:pPr>
        <w:ind w:left="2160" w:hanging="180"/>
      </w:pPr>
    </w:lvl>
    <w:lvl w:ilvl="3" w:tplc="2814D4FC" w:tentative="1">
      <w:start w:val="1"/>
      <w:numFmt w:val="decimal"/>
      <w:lvlText w:val="%4."/>
      <w:lvlJc w:val="left"/>
      <w:pPr>
        <w:ind w:left="2880" w:hanging="360"/>
      </w:pPr>
    </w:lvl>
    <w:lvl w:ilvl="4" w:tplc="466C0680" w:tentative="1">
      <w:start w:val="1"/>
      <w:numFmt w:val="lowerLetter"/>
      <w:lvlText w:val="%5."/>
      <w:lvlJc w:val="left"/>
      <w:pPr>
        <w:ind w:left="3600" w:hanging="360"/>
      </w:pPr>
    </w:lvl>
    <w:lvl w:ilvl="5" w:tplc="AACC08CE" w:tentative="1">
      <w:start w:val="1"/>
      <w:numFmt w:val="lowerRoman"/>
      <w:lvlText w:val="%6."/>
      <w:lvlJc w:val="right"/>
      <w:pPr>
        <w:ind w:left="4320" w:hanging="180"/>
      </w:pPr>
    </w:lvl>
    <w:lvl w:ilvl="6" w:tplc="2B8CF666" w:tentative="1">
      <w:start w:val="1"/>
      <w:numFmt w:val="decimal"/>
      <w:lvlText w:val="%7."/>
      <w:lvlJc w:val="left"/>
      <w:pPr>
        <w:ind w:left="5040" w:hanging="360"/>
      </w:pPr>
    </w:lvl>
    <w:lvl w:ilvl="7" w:tplc="30661CAC" w:tentative="1">
      <w:start w:val="1"/>
      <w:numFmt w:val="lowerLetter"/>
      <w:lvlText w:val="%8."/>
      <w:lvlJc w:val="left"/>
      <w:pPr>
        <w:ind w:left="5760" w:hanging="360"/>
      </w:pPr>
    </w:lvl>
    <w:lvl w:ilvl="8" w:tplc="4DB458C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A606FD0">
      <w:start w:val="1"/>
      <w:numFmt w:val="lowerRoman"/>
      <w:lvlText w:val="(%1)"/>
      <w:lvlJc w:val="left"/>
      <w:pPr>
        <w:ind w:left="1080" w:hanging="720"/>
      </w:pPr>
      <w:rPr>
        <w:rFonts w:hint="default"/>
      </w:rPr>
    </w:lvl>
    <w:lvl w:ilvl="1" w:tplc="020CE6F8" w:tentative="1">
      <w:start w:val="1"/>
      <w:numFmt w:val="lowerLetter"/>
      <w:lvlText w:val="%2."/>
      <w:lvlJc w:val="left"/>
      <w:pPr>
        <w:ind w:left="1440" w:hanging="360"/>
      </w:pPr>
    </w:lvl>
    <w:lvl w:ilvl="2" w:tplc="3E968FE0" w:tentative="1">
      <w:start w:val="1"/>
      <w:numFmt w:val="lowerRoman"/>
      <w:lvlText w:val="%3."/>
      <w:lvlJc w:val="right"/>
      <w:pPr>
        <w:ind w:left="2160" w:hanging="180"/>
      </w:pPr>
    </w:lvl>
    <w:lvl w:ilvl="3" w:tplc="1CE02B14" w:tentative="1">
      <w:start w:val="1"/>
      <w:numFmt w:val="decimal"/>
      <w:lvlText w:val="%4."/>
      <w:lvlJc w:val="left"/>
      <w:pPr>
        <w:ind w:left="2880" w:hanging="360"/>
      </w:pPr>
    </w:lvl>
    <w:lvl w:ilvl="4" w:tplc="26EA42EC" w:tentative="1">
      <w:start w:val="1"/>
      <w:numFmt w:val="lowerLetter"/>
      <w:lvlText w:val="%5."/>
      <w:lvlJc w:val="left"/>
      <w:pPr>
        <w:ind w:left="3600" w:hanging="360"/>
      </w:pPr>
    </w:lvl>
    <w:lvl w:ilvl="5" w:tplc="E182BA94" w:tentative="1">
      <w:start w:val="1"/>
      <w:numFmt w:val="lowerRoman"/>
      <w:lvlText w:val="%6."/>
      <w:lvlJc w:val="right"/>
      <w:pPr>
        <w:ind w:left="4320" w:hanging="180"/>
      </w:pPr>
    </w:lvl>
    <w:lvl w:ilvl="6" w:tplc="7194D9A6" w:tentative="1">
      <w:start w:val="1"/>
      <w:numFmt w:val="decimal"/>
      <w:lvlText w:val="%7."/>
      <w:lvlJc w:val="left"/>
      <w:pPr>
        <w:ind w:left="5040" w:hanging="360"/>
      </w:pPr>
    </w:lvl>
    <w:lvl w:ilvl="7" w:tplc="2E2472BC" w:tentative="1">
      <w:start w:val="1"/>
      <w:numFmt w:val="lowerLetter"/>
      <w:lvlText w:val="%8."/>
      <w:lvlJc w:val="left"/>
      <w:pPr>
        <w:ind w:left="5760" w:hanging="360"/>
      </w:pPr>
    </w:lvl>
    <w:lvl w:ilvl="8" w:tplc="11EC05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AAB66A">
      <w:start w:val="1"/>
      <w:numFmt w:val="lowerRoman"/>
      <w:lvlText w:val="(%1)"/>
      <w:lvlJc w:val="left"/>
      <w:pPr>
        <w:ind w:left="1080" w:hanging="720"/>
      </w:pPr>
      <w:rPr>
        <w:rFonts w:hint="default"/>
      </w:rPr>
    </w:lvl>
    <w:lvl w:ilvl="1" w:tplc="9DFAF1BA" w:tentative="1">
      <w:start w:val="1"/>
      <w:numFmt w:val="lowerLetter"/>
      <w:lvlText w:val="%2."/>
      <w:lvlJc w:val="left"/>
      <w:pPr>
        <w:ind w:left="1440" w:hanging="360"/>
      </w:pPr>
    </w:lvl>
    <w:lvl w:ilvl="2" w:tplc="F8DA5D68" w:tentative="1">
      <w:start w:val="1"/>
      <w:numFmt w:val="lowerRoman"/>
      <w:lvlText w:val="%3."/>
      <w:lvlJc w:val="right"/>
      <w:pPr>
        <w:ind w:left="2160" w:hanging="180"/>
      </w:pPr>
    </w:lvl>
    <w:lvl w:ilvl="3" w:tplc="ED9E6CBC" w:tentative="1">
      <w:start w:val="1"/>
      <w:numFmt w:val="decimal"/>
      <w:lvlText w:val="%4."/>
      <w:lvlJc w:val="left"/>
      <w:pPr>
        <w:ind w:left="2880" w:hanging="360"/>
      </w:pPr>
    </w:lvl>
    <w:lvl w:ilvl="4" w:tplc="C37855CE" w:tentative="1">
      <w:start w:val="1"/>
      <w:numFmt w:val="lowerLetter"/>
      <w:lvlText w:val="%5."/>
      <w:lvlJc w:val="left"/>
      <w:pPr>
        <w:ind w:left="3600" w:hanging="360"/>
      </w:pPr>
    </w:lvl>
    <w:lvl w:ilvl="5" w:tplc="44FCF19A" w:tentative="1">
      <w:start w:val="1"/>
      <w:numFmt w:val="lowerRoman"/>
      <w:lvlText w:val="%6."/>
      <w:lvlJc w:val="right"/>
      <w:pPr>
        <w:ind w:left="4320" w:hanging="180"/>
      </w:pPr>
    </w:lvl>
    <w:lvl w:ilvl="6" w:tplc="3424DA30" w:tentative="1">
      <w:start w:val="1"/>
      <w:numFmt w:val="decimal"/>
      <w:lvlText w:val="%7."/>
      <w:lvlJc w:val="left"/>
      <w:pPr>
        <w:ind w:left="5040" w:hanging="360"/>
      </w:pPr>
    </w:lvl>
    <w:lvl w:ilvl="7" w:tplc="EE5AA26C" w:tentative="1">
      <w:start w:val="1"/>
      <w:numFmt w:val="lowerLetter"/>
      <w:lvlText w:val="%8."/>
      <w:lvlJc w:val="left"/>
      <w:pPr>
        <w:ind w:left="5760" w:hanging="360"/>
      </w:pPr>
    </w:lvl>
    <w:lvl w:ilvl="8" w:tplc="93825F40" w:tentative="1">
      <w:start w:val="1"/>
      <w:numFmt w:val="lowerRoman"/>
      <w:lvlText w:val="%9."/>
      <w:lvlJc w:val="right"/>
      <w:pPr>
        <w:ind w:left="6480" w:hanging="180"/>
      </w:pPr>
    </w:lvl>
  </w:abstractNum>
  <w:abstractNum w:abstractNumId="8"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89F2770C">
      <w:start w:val="1"/>
      <w:numFmt w:val="lowerRoman"/>
      <w:lvlText w:val="(%1)"/>
      <w:lvlJc w:val="left"/>
      <w:pPr>
        <w:ind w:left="1080" w:hanging="720"/>
      </w:pPr>
      <w:rPr>
        <w:rFonts w:hint="default"/>
      </w:rPr>
    </w:lvl>
    <w:lvl w:ilvl="1" w:tplc="71EA8B4C" w:tentative="1">
      <w:start w:val="1"/>
      <w:numFmt w:val="lowerLetter"/>
      <w:lvlText w:val="%2."/>
      <w:lvlJc w:val="left"/>
      <w:pPr>
        <w:ind w:left="1440" w:hanging="360"/>
      </w:pPr>
    </w:lvl>
    <w:lvl w:ilvl="2" w:tplc="7B9452C2" w:tentative="1">
      <w:start w:val="1"/>
      <w:numFmt w:val="lowerRoman"/>
      <w:lvlText w:val="%3."/>
      <w:lvlJc w:val="right"/>
      <w:pPr>
        <w:ind w:left="2160" w:hanging="180"/>
      </w:pPr>
    </w:lvl>
    <w:lvl w:ilvl="3" w:tplc="48A67E36" w:tentative="1">
      <w:start w:val="1"/>
      <w:numFmt w:val="decimal"/>
      <w:lvlText w:val="%4."/>
      <w:lvlJc w:val="left"/>
      <w:pPr>
        <w:ind w:left="2880" w:hanging="360"/>
      </w:pPr>
    </w:lvl>
    <w:lvl w:ilvl="4" w:tplc="7884BDAE" w:tentative="1">
      <w:start w:val="1"/>
      <w:numFmt w:val="lowerLetter"/>
      <w:lvlText w:val="%5."/>
      <w:lvlJc w:val="left"/>
      <w:pPr>
        <w:ind w:left="3600" w:hanging="360"/>
      </w:pPr>
    </w:lvl>
    <w:lvl w:ilvl="5" w:tplc="60006482" w:tentative="1">
      <w:start w:val="1"/>
      <w:numFmt w:val="lowerRoman"/>
      <w:lvlText w:val="%6."/>
      <w:lvlJc w:val="right"/>
      <w:pPr>
        <w:ind w:left="4320" w:hanging="180"/>
      </w:pPr>
    </w:lvl>
    <w:lvl w:ilvl="6" w:tplc="5B9E159E" w:tentative="1">
      <w:start w:val="1"/>
      <w:numFmt w:val="decimal"/>
      <w:lvlText w:val="%7."/>
      <w:lvlJc w:val="left"/>
      <w:pPr>
        <w:ind w:left="5040" w:hanging="360"/>
      </w:pPr>
    </w:lvl>
    <w:lvl w:ilvl="7" w:tplc="9430A15E" w:tentative="1">
      <w:start w:val="1"/>
      <w:numFmt w:val="lowerLetter"/>
      <w:lvlText w:val="%8."/>
      <w:lvlJc w:val="left"/>
      <w:pPr>
        <w:ind w:left="5760" w:hanging="360"/>
      </w:pPr>
    </w:lvl>
    <w:lvl w:ilvl="8" w:tplc="0F56D53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9D829E6">
      <w:start w:val="1"/>
      <w:numFmt w:val="lowerRoman"/>
      <w:lvlText w:val="(%1)"/>
      <w:lvlJc w:val="left"/>
      <w:pPr>
        <w:ind w:left="1080" w:hanging="720"/>
      </w:pPr>
      <w:rPr>
        <w:rFonts w:hint="default"/>
      </w:rPr>
    </w:lvl>
    <w:lvl w:ilvl="1" w:tplc="DBD87596" w:tentative="1">
      <w:start w:val="1"/>
      <w:numFmt w:val="lowerLetter"/>
      <w:lvlText w:val="%2."/>
      <w:lvlJc w:val="left"/>
      <w:pPr>
        <w:ind w:left="1440" w:hanging="360"/>
      </w:pPr>
    </w:lvl>
    <w:lvl w:ilvl="2" w:tplc="9C82B07A" w:tentative="1">
      <w:start w:val="1"/>
      <w:numFmt w:val="lowerRoman"/>
      <w:lvlText w:val="%3."/>
      <w:lvlJc w:val="right"/>
      <w:pPr>
        <w:ind w:left="2160" w:hanging="180"/>
      </w:pPr>
    </w:lvl>
    <w:lvl w:ilvl="3" w:tplc="BADC1FEE" w:tentative="1">
      <w:start w:val="1"/>
      <w:numFmt w:val="decimal"/>
      <w:lvlText w:val="%4."/>
      <w:lvlJc w:val="left"/>
      <w:pPr>
        <w:ind w:left="2880" w:hanging="360"/>
      </w:pPr>
    </w:lvl>
    <w:lvl w:ilvl="4" w:tplc="4F12F6F8" w:tentative="1">
      <w:start w:val="1"/>
      <w:numFmt w:val="lowerLetter"/>
      <w:lvlText w:val="%5."/>
      <w:lvlJc w:val="left"/>
      <w:pPr>
        <w:ind w:left="3600" w:hanging="360"/>
      </w:pPr>
    </w:lvl>
    <w:lvl w:ilvl="5" w:tplc="30884362" w:tentative="1">
      <w:start w:val="1"/>
      <w:numFmt w:val="lowerRoman"/>
      <w:lvlText w:val="%6."/>
      <w:lvlJc w:val="right"/>
      <w:pPr>
        <w:ind w:left="4320" w:hanging="180"/>
      </w:pPr>
    </w:lvl>
    <w:lvl w:ilvl="6" w:tplc="8F262618" w:tentative="1">
      <w:start w:val="1"/>
      <w:numFmt w:val="decimal"/>
      <w:lvlText w:val="%7."/>
      <w:lvlJc w:val="left"/>
      <w:pPr>
        <w:ind w:left="5040" w:hanging="360"/>
      </w:pPr>
    </w:lvl>
    <w:lvl w:ilvl="7" w:tplc="B90A3762" w:tentative="1">
      <w:start w:val="1"/>
      <w:numFmt w:val="lowerLetter"/>
      <w:lvlText w:val="%8."/>
      <w:lvlJc w:val="left"/>
      <w:pPr>
        <w:ind w:left="5760" w:hanging="360"/>
      </w:pPr>
    </w:lvl>
    <w:lvl w:ilvl="8" w:tplc="F176D1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7F"/>
    <w:rsid w:val="00133599"/>
    <w:rsid w:val="0057569D"/>
    <w:rsid w:val="0058533B"/>
    <w:rsid w:val="008C107F"/>
    <w:rsid w:val="00E764C1"/>
    <w:rsid w:val="00F32C2A"/>
    <w:rsid w:val="00F71D93"/>
    <w:rsid w:val="00FB5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27018"/>
  <w15:docId w15:val="{F68AB983-AF93-4858-AAF4-F6970C9D5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7274</RACS_x0020_ID>
    <Approved_x0020_Provider xmlns="a8338b6e-77a6-4851-82b6-98166143ffdd">Alinea Inc.</Approved_x0020_Provider>
    <Management_x0020_Company_x0020_ID xmlns="a8338b6e-77a6-4851-82b6-98166143ffdd" xsi:nil="true"/>
    <Home xmlns="a8338b6e-77a6-4851-82b6-98166143ffdd">Osboine Contemporary Aged Care</Home>
    <Signed xmlns="a8338b6e-77a6-4851-82b6-98166143ffdd" xsi:nil="true"/>
    <Uploaded xmlns="a8338b6e-77a6-4851-82b6-98166143ffdd">False</Uploaded>
    <Management_x0020_Company xmlns="a8338b6e-77a6-4851-82b6-98166143ffdd" xsi:nil="true"/>
    <Doc_x0020_Date xmlns="a8338b6e-77a6-4851-82b6-98166143ffdd">2022-09-30T05:35:00+00:00</Doc_x0020_Date>
    <CSI_x0020_ID xmlns="a8338b6e-77a6-4851-82b6-98166143ffdd" xsi:nil="true"/>
    <Case_x0020_ID xmlns="a8338b6e-77a6-4851-82b6-98166143ffdd" xsi:nil="true"/>
    <Approved_x0020_Provider_x0020_ID xmlns="a8338b6e-77a6-4851-82b6-98166143ffdd">99FF2B54-77F4-DC11-AD41-005056922186</Approved_x0020_Provider_x0020_ID>
    <Location xmlns="a8338b6e-77a6-4851-82b6-98166143ffdd" xsi:nil="true"/>
    <Home_x0020_ID xmlns="a8338b6e-77a6-4851-82b6-98166143ffdd">2304BD33-7CF4-DC11-AD41-005056922186</Home_x0020_ID>
    <State xmlns="a8338b6e-77a6-4851-82b6-98166143ffdd">WA</State>
    <Doc_x0020_Sent_Received_x0020_Date xmlns="a8338b6e-77a6-4851-82b6-98166143ffdd">2022-09-30T00:00:00+00:00</Doc_x0020_Sent_Received_x0020_Date>
    <Activity_x0020_ID xmlns="a8338b6e-77a6-4851-82b6-98166143ffdd">DE6FEBF9-3DD8-E911-AB45-005056922186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85DAD-8AA3-41CE-B039-FD8AD5651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www.w3.org/XML/1998/namespace"/>
    <ds:schemaRef ds:uri="a8338b6e-77a6-4851-82b6-98166143ffdd"/>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1440</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2022-11-07T00:03:00Z</dcterms:created>
  <dcterms:modified xsi:type="dcterms:W3CDTF">2022-11-07T00:04:00Z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