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724EF" w14:textId="77777777" w:rsidR="00E36AEC" w:rsidRPr="002C3EBF" w:rsidRDefault="00D703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C2EB47" wp14:editId="7BC8C94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10A963" w14:textId="77777777" w:rsidR="00E36AEC" w:rsidRDefault="00D703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3EF629" w14:textId="77777777" w:rsidR="00E36AEC" w:rsidRDefault="00D703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764967" w14:textId="77777777" w:rsidR="00E36AEC" w:rsidRPr="002C3EBF" w:rsidRDefault="00D703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6758D" w14:paraId="6AFB16F5" w14:textId="77777777" w:rsidTr="0046758D">
        <w:tc>
          <w:tcPr>
            <w:cnfStyle w:val="001000000000" w:firstRow="0" w:lastRow="0" w:firstColumn="1" w:lastColumn="0" w:oddVBand="0" w:evenVBand="0" w:oddHBand="0" w:evenHBand="0" w:firstRowFirstColumn="0" w:firstRowLastColumn="0" w:lastRowFirstColumn="0" w:lastRowLastColumn="0"/>
            <w:tcW w:w="3227" w:type="dxa"/>
          </w:tcPr>
          <w:p w14:paraId="12EACB56" w14:textId="77777777" w:rsidR="00E36AEC" w:rsidRPr="00996FAF" w:rsidRDefault="00D703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48770B1" w14:textId="77777777" w:rsidR="00E36AEC" w:rsidRPr="00996FAF" w:rsidRDefault="00D703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Basil's Kensington</w:t>
            </w:r>
          </w:p>
        </w:tc>
      </w:tr>
      <w:tr w:rsidR="0046758D" w14:paraId="3B800EA0" w14:textId="77777777" w:rsidTr="00467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C9AFB" w14:textId="77777777" w:rsidR="00E36AEC" w:rsidRPr="00996FAF" w:rsidRDefault="00D703C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C27144" w14:textId="77777777" w:rsidR="00E36AEC" w:rsidRPr="00C27BE3" w:rsidRDefault="00D703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2285</w:t>
            </w:r>
          </w:p>
        </w:tc>
      </w:tr>
      <w:tr w:rsidR="0046758D" w14:paraId="752A012F" w14:textId="77777777" w:rsidTr="004675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DF08F" w14:textId="77777777" w:rsidR="00E36AEC" w:rsidRPr="00996FAF" w:rsidRDefault="00D703C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C26F06" w14:textId="77777777" w:rsidR="00E36AEC" w:rsidRPr="00996FAF" w:rsidRDefault="00D703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95-97 Todman</w:t>
            </w:r>
            <w:r>
              <w:rPr>
                <w:rFonts w:ascii="Arial" w:eastAsia="Times New Roman" w:hAnsi="Arial" w:cs="Arial"/>
                <w:lang w:eastAsia="en-AU"/>
              </w:rPr>
              <w:t xml:space="preserve"> Avenue, KENSINGTON, New South Wales, 2033</w:t>
            </w:r>
          </w:p>
        </w:tc>
      </w:tr>
      <w:tr w:rsidR="0046758D" w14:paraId="5707F270" w14:textId="77777777" w:rsidTr="00467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C5744" w14:textId="77777777" w:rsidR="00E36AEC" w:rsidRPr="00996FAF" w:rsidRDefault="00D703C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2CBAD3" w14:textId="77777777" w:rsidR="00E36AEC" w:rsidRPr="00996FAF" w:rsidRDefault="00D703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6758D" w14:paraId="3CB14EF9" w14:textId="77777777" w:rsidTr="004675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EC9EF5" w14:textId="77777777" w:rsidR="00E36AEC" w:rsidRPr="00996FAF" w:rsidRDefault="00D703C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9B08E7" w14:textId="77777777" w:rsidR="00E36AEC" w:rsidRPr="00996FAF" w:rsidRDefault="00D703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31 January 2024</w:t>
            </w:r>
          </w:p>
        </w:tc>
      </w:tr>
      <w:tr w:rsidR="0046758D" w14:paraId="3A937D0C" w14:textId="77777777" w:rsidTr="00467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2F841D" w14:textId="77777777" w:rsidR="00E36AEC" w:rsidRPr="00996FAF" w:rsidRDefault="00D703C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9920759"/>
            <w:placeholder>
              <w:docPart w:val="DefaultPlaceholder_-1854013437"/>
            </w:placeholder>
            <w:date w:fullDate="2024-03-01T00:00:00Z">
              <w:dateFormat w:val="d MMMM yyyy"/>
              <w:lid w:val="en-AU"/>
              <w:storeMappedDataAs w:val="dateTime"/>
              <w:calendar w:val="gregorian"/>
            </w:date>
          </w:sdtPr>
          <w:sdtEndPr/>
          <w:sdtContent>
            <w:tc>
              <w:tcPr>
                <w:tcW w:w="7114" w:type="dxa"/>
                <w:shd w:val="clear" w:color="auto" w:fill="FFFFFF" w:themeFill="background1"/>
              </w:tcPr>
              <w:p w14:paraId="2EEC4EB0" w14:textId="1C83C43F" w:rsidR="00E36AEC" w:rsidRPr="00996FAF" w:rsidRDefault="000071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March 2024</w:t>
                </w:r>
              </w:p>
            </w:tc>
          </w:sdtContent>
        </w:sdt>
      </w:tr>
      <w:tr w:rsidR="0046758D" w14:paraId="5CF36EEA" w14:textId="77777777" w:rsidTr="004675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30F74C" w14:textId="77777777" w:rsidR="00E36AEC" w:rsidRPr="00996FAF" w:rsidRDefault="00D703C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8BF274" w14:textId="77777777" w:rsidR="00E36AEC" w:rsidRPr="009B6303" w:rsidRDefault="00D703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736 St Basil's Homes </w:t>
            </w:r>
          </w:p>
          <w:p w14:paraId="5FE12FCB" w14:textId="77777777" w:rsidR="00E36AEC" w:rsidRPr="009B6303" w:rsidRDefault="00D703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739 St Basil's Kensington</w:t>
            </w:r>
          </w:p>
        </w:tc>
      </w:tr>
    </w:tbl>
    <w:bookmarkEnd w:id="0"/>
    <w:p w14:paraId="01F2DDA1" w14:textId="77777777" w:rsidR="00E36AEC" w:rsidRPr="00996FAF" w:rsidRDefault="00D703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2D1C10" w14:textId="77777777" w:rsidR="00E36AEC" w:rsidRPr="00996FAF" w:rsidRDefault="00D703C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9A82F5" w14:textId="77777777" w:rsidR="00E36AEC" w:rsidRPr="00996FAF" w:rsidRDefault="00D703C4" w:rsidP="0036130C">
      <w:pPr>
        <w:pStyle w:val="NormalArial"/>
      </w:pPr>
      <w:r w:rsidRPr="00996FAF">
        <w:t xml:space="preserve">This performance report for </w:t>
      </w:r>
      <w:r w:rsidRPr="00C27BE3">
        <w:rPr>
          <w:color w:val="auto"/>
        </w:rPr>
        <w:t>St Basil's Kensington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09EC620" w14:textId="77777777" w:rsidR="00E36AEC" w:rsidRPr="00996FAF" w:rsidRDefault="00D703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237A4A" w14:textId="77777777" w:rsidR="00E36AEC" w:rsidRPr="00996FAF" w:rsidRDefault="00D703C4" w:rsidP="0036130C">
      <w:pPr>
        <w:pStyle w:val="NormalArial"/>
      </w:pPr>
      <w:r w:rsidRPr="00996FAF">
        <w:t>The report also specifies any areas in which improvements must be made to ensure the Quality Standards are complied with.</w:t>
      </w:r>
    </w:p>
    <w:p w14:paraId="0A17395C" w14:textId="77777777" w:rsidR="00E36AEC" w:rsidRPr="00996FAF" w:rsidRDefault="00D703C4" w:rsidP="00712752">
      <w:pPr>
        <w:pStyle w:val="Heading1"/>
        <w:spacing w:before="240" w:after="240" w:line="22" w:lineRule="atLeast"/>
        <w:rPr>
          <w:rFonts w:ascii="Arial" w:hAnsi="Arial" w:cs="Arial"/>
        </w:rPr>
      </w:pPr>
      <w:r w:rsidRPr="00996FAF">
        <w:rPr>
          <w:rFonts w:ascii="Arial" w:hAnsi="Arial" w:cs="Arial"/>
        </w:rPr>
        <w:t>Material relied on</w:t>
      </w:r>
    </w:p>
    <w:p w14:paraId="3800350C" w14:textId="77777777" w:rsidR="00E36AEC" w:rsidRPr="00996FAF" w:rsidRDefault="00D703C4" w:rsidP="0036130C">
      <w:pPr>
        <w:pStyle w:val="NormalArial"/>
      </w:pPr>
      <w:r w:rsidRPr="00996FAF">
        <w:t>The following information has been considered in preparing the performance report:</w:t>
      </w:r>
    </w:p>
    <w:p w14:paraId="7AFFD0CB" w14:textId="77777777" w:rsidR="00E36AEC" w:rsidRPr="000A5883" w:rsidRDefault="00D703C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0A5883">
        <w:rPr>
          <w:rFonts w:ascii="Arial" w:hAnsi="Arial" w:cs="Arial"/>
          <w:color w:val="auto"/>
        </w:rPr>
        <w:t>by a site assessment, observations at the service, review of documents and interviews with staff, consumers/representatives and others</w:t>
      </w:r>
      <w:r w:rsidR="000A5883" w:rsidRPr="000A5883">
        <w:rPr>
          <w:rFonts w:ascii="Arial" w:hAnsi="Arial" w:cs="Arial"/>
          <w:color w:val="auto"/>
        </w:rPr>
        <w:t>.</w:t>
      </w:r>
    </w:p>
    <w:p w14:paraId="42F9E7DE" w14:textId="1424BF1C" w:rsidR="00E36AEC" w:rsidRPr="00996FAF" w:rsidRDefault="00D703C4" w:rsidP="003846B0">
      <w:pPr>
        <w:pStyle w:val="ListParagraph"/>
        <w:spacing w:line="240" w:lineRule="atLeast"/>
        <w:ind w:left="714"/>
        <w:contextualSpacing w:val="0"/>
        <w:rPr>
          <w:rFonts w:ascii="Arial" w:hAnsi="Arial" w:cs="Arial"/>
          <w:color w:val="FF0000"/>
        </w:rPr>
      </w:pPr>
      <w:r w:rsidRPr="00996FAF">
        <w:rPr>
          <w:rFonts w:ascii="Arial" w:hAnsi="Arial" w:cs="Arial"/>
        </w:rPr>
        <w:t xml:space="preserve"> </w:t>
      </w:r>
    </w:p>
    <w:p w14:paraId="08410DB0" w14:textId="77777777" w:rsidR="00E36AEC" w:rsidRPr="00712752" w:rsidRDefault="00D703C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B6CAD7" w14:textId="77777777" w:rsidR="00E36AEC" w:rsidRPr="00996FAF" w:rsidRDefault="00D703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6758D" w14:paraId="218D756A" w14:textId="77777777" w:rsidTr="004675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9072E4" w14:textId="77777777" w:rsidR="00E36AEC" w:rsidRPr="00996FAF" w:rsidRDefault="00D703C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5949E66" w14:textId="67C9B34E" w:rsidR="00E36AEC" w:rsidRPr="002C5FA9" w:rsidRDefault="00F65F1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r w:rsidR="0046758D" w14:paraId="48215B5A" w14:textId="77777777" w:rsidTr="004675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DE2C7D" w14:textId="77777777" w:rsidR="00E36AEC" w:rsidRPr="00996FAF" w:rsidRDefault="00D703C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85D8E1A" w14:textId="6BD1456D" w:rsidR="00E36AEC" w:rsidRPr="00F65F1A" w:rsidRDefault="00F65F1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65F1A">
              <w:rPr>
                <w:rFonts w:ascii="Arial" w:hAnsi="Arial" w:cs="Arial"/>
                <w:b/>
              </w:rPr>
              <w:t>Not Applicable As Not All Requirements Assessed</w:t>
            </w:r>
          </w:p>
        </w:tc>
      </w:tr>
    </w:tbl>
    <w:p w14:paraId="42BA78B7" w14:textId="77777777" w:rsidR="00E36AEC" w:rsidRPr="00996FAF" w:rsidRDefault="00D703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B5E956" w14:textId="77777777" w:rsidR="00E36AEC" w:rsidRPr="00996FAF" w:rsidRDefault="00D703C4" w:rsidP="00712752">
      <w:pPr>
        <w:pStyle w:val="Heading1"/>
        <w:spacing w:before="0" w:after="240" w:line="22" w:lineRule="atLeast"/>
        <w:rPr>
          <w:rFonts w:ascii="Arial" w:hAnsi="Arial" w:cs="Arial"/>
        </w:rPr>
      </w:pPr>
      <w:r w:rsidRPr="00996FAF">
        <w:rPr>
          <w:rFonts w:ascii="Arial" w:hAnsi="Arial" w:cs="Arial"/>
        </w:rPr>
        <w:t>Areas for improvement</w:t>
      </w:r>
    </w:p>
    <w:p w14:paraId="0BC54E74" w14:textId="77777777" w:rsidR="00E36AEC" w:rsidRPr="00996FAF" w:rsidRDefault="00D703C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5F7330" w14:textId="77777777" w:rsidR="00E36AEC" w:rsidRPr="00996FAF" w:rsidRDefault="00D703C4" w:rsidP="0036130C">
      <w:pPr>
        <w:pStyle w:val="NormalArial"/>
      </w:pPr>
      <w:r w:rsidRPr="00996FAF">
        <w:br w:type="page"/>
      </w:r>
    </w:p>
    <w:p w14:paraId="07D2B103" w14:textId="77777777" w:rsidR="00E36AEC" w:rsidRPr="00996FAF" w:rsidRDefault="00D703C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6758D" w14:paraId="1DBCB4F6" w14:textId="77777777" w:rsidTr="00FD2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8DD78E3" w14:textId="77777777" w:rsidR="00E36AEC" w:rsidRPr="00996FAF" w:rsidRDefault="00D703C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736A2B" w14:textId="77777777" w:rsidR="00E36AEC" w:rsidRPr="00996FAF" w:rsidRDefault="00E36A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758D" w14:paraId="5B103EF8" w14:textId="77777777" w:rsidTr="004675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703D4" w14:textId="77777777" w:rsidR="00E36AEC" w:rsidRPr="00996FAF" w:rsidRDefault="00D703C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FDABA46" w14:textId="77777777" w:rsidR="00E36AEC" w:rsidRPr="00996FAF" w:rsidRDefault="00D703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28FCC1" w14:textId="77777777" w:rsidR="00E36AEC" w:rsidRPr="00996FAF" w:rsidRDefault="00D703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752C1D" w14:textId="77777777" w:rsidR="00E36AEC" w:rsidRPr="00996FAF" w:rsidRDefault="00D703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2A30A0" w14:textId="77777777" w:rsidR="00E36AEC" w:rsidRPr="00996FAF" w:rsidRDefault="00D703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F9826AC" w14:textId="77777777" w:rsidR="00E36AEC" w:rsidRPr="00996FAF" w:rsidRDefault="00ED22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76803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703C4" w:rsidRPr="002C2F15">
                  <w:rPr>
                    <w:rFonts w:ascii="Arial" w:hAnsi="Arial" w:cs="Arial"/>
                  </w:rPr>
                  <w:t>Compliant</w:t>
                </w:r>
              </w:sdtContent>
            </w:sdt>
          </w:p>
        </w:tc>
      </w:tr>
      <w:tr w:rsidR="0046758D" w14:paraId="73EE1440" w14:textId="77777777" w:rsidTr="00467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C8990" w14:textId="77777777" w:rsidR="00E36AEC" w:rsidRPr="00996FAF" w:rsidRDefault="00D703C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460825" w14:textId="77777777" w:rsidR="00E36AEC" w:rsidRPr="00996FAF" w:rsidRDefault="00D703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1B33B13" w14:textId="77777777" w:rsidR="00E36AEC" w:rsidRPr="00996FAF" w:rsidRDefault="00ED22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00909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703C4" w:rsidRPr="002C2F15">
                  <w:rPr>
                    <w:rFonts w:ascii="Arial" w:hAnsi="Arial" w:cs="Arial"/>
                  </w:rPr>
                  <w:t>Compliant</w:t>
                </w:r>
              </w:sdtContent>
            </w:sdt>
          </w:p>
        </w:tc>
      </w:tr>
      <w:tr w:rsidR="0046758D" w14:paraId="2F86B22E" w14:textId="77777777" w:rsidTr="004675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BDEFA" w14:textId="77777777" w:rsidR="00E36AEC" w:rsidRPr="00996FAF" w:rsidRDefault="00D703C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3F5DCE3" w14:textId="77777777" w:rsidR="00E36AEC" w:rsidRPr="00996FAF" w:rsidRDefault="00D703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A27AF8F" w14:textId="77777777" w:rsidR="00E36AEC" w:rsidRPr="00996FAF" w:rsidRDefault="00ED22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41597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703C4" w:rsidRPr="002C2F15">
                  <w:rPr>
                    <w:rFonts w:ascii="Arial" w:hAnsi="Arial" w:cs="Arial"/>
                  </w:rPr>
                  <w:t>Compliant</w:t>
                </w:r>
              </w:sdtContent>
            </w:sdt>
          </w:p>
        </w:tc>
      </w:tr>
    </w:tbl>
    <w:p w14:paraId="5D6E4F26" w14:textId="77777777" w:rsidR="00E36AEC" w:rsidRDefault="00D703C4" w:rsidP="00D87E7C">
      <w:pPr>
        <w:pStyle w:val="Heading20"/>
      </w:pPr>
      <w:r w:rsidRPr="00996FAF">
        <w:t>Findings</w:t>
      </w:r>
    </w:p>
    <w:p w14:paraId="6BDF46BC" w14:textId="77777777" w:rsidR="00274EA1" w:rsidRPr="00274EA1" w:rsidRDefault="00274EA1" w:rsidP="00274EA1">
      <w:pPr>
        <w:spacing w:line="22" w:lineRule="atLeast"/>
        <w:rPr>
          <w:rFonts w:ascii="Arial" w:hAnsi="Arial" w:cs="Arial"/>
        </w:rPr>
      </w:pPr>
      <w:r w:rsidRPr="00274EA1">
        <w:rPr>
          <w:rFonts w:ascii="Arial" w:hAnsi="Arial" w:cs="Arial"/>
        </w:rPr>
        <w:t>Requirement 3(3)(a) was found to be non-compliant at a previous assessment. Since that time the Approved Provider implemented actions to address the non-compliance.</w:t>
      </w:r>
    </w:p>
    <w:p w14:paraId="6FA983A5" w14:textId="77777777" w:rsidR="00274EA1" w:rsidRDefault="00274EA1" w:rsidP="00274EA1">
      <w:pPr>
        <w:spacing w:line="22" w:lineRule="atLeast"/>
        <w:rPr>
          <w:rFonts w:ascii="Arial" w:hAnsi="Arial" w:cs="Arial"/>
        </w:rPr>
      </w:pPr>
      <w:r w:rsidRPr="00274EA1">
        <w:rPr>
          <w:rFonts w:ascii="Arial" w:hAnsi="Arial" w:cs="Arial"/>
        </w:rPr>
        <w:t>Consumers and</w:t>
      </w:r>
      <w:r>
        <w:rPr>
          <w:rFonts w:ascii="Arial" w:hAnsi="Arial" w:cs="Arial"/>
        </w:rPr>
        <w:t>/or</w:t>
      </w:r>
      <w:r w:rsidRPr="00274EA1">
        <w:rPr>
          <w:rFonts w:ascii="Arial" w:hAnsi="Arial" w:cs="Arial"/>
        </w:rPr>
        <w:t xml:space="preserve"> representatives provided mostly positive feedback about the personal and clinical care of consumers. Review of the care of consumers shows personal and clinical care is safe and effective across domains of care</w:t>
      </w:r>
      <w:r>
        <w:rPr>
          <w:rFonts w:ascii="Arial" w:hAnsi="Arial" w:cs="Arial"/>
        </w:rPr>
        <w:t>,</w:t>
      </w:r>
      <w:r w:rsidRPr="00274EA1">
        <w:rPr>
          <w:rFonts w:ascii="Arial" w:hAnsi="Arial" w:cs="Arial"/>
        </w:rPr>
        <w:t xml:space="preserve"> includ</w:t>
      </w:r>
      <w:r w:rsidR="00B71C40">
        <w:rPr>
          <w:rFonts w:ascii="Arial" w:hAnsi="Arial" w:cs="Arial"/>
        </w:rPr>
        <w:t>ing</w:t>
      </w:r>
      <w:r w:rsidRPr="00274EA1">
        <w:rPr>
          <w:rFonts w:ascii="Arial" w:hAnsi="Arial" w:cs="Arial"/>
        </w:rPr>
        <w:t xml:space="preserve"> management of skin integrity, pain, incidents, and the provision of behaviour support. </w:t>
      </w:r>
    </w:p>
    <w:p w14:paraId="552C39C4" w14:textId="77777777" w:rsidR="00274EA1" w:rsidRDefault="00274EA1" w:rsidP="00274EA1">
      <w:pPr>
        <w:spacing w:line="22" w:lineRule="atLeast"/>
        <w:rPr>
          <w:rFonts w:ascii="Arial" w:hAnsi="Arial" w:cs="Arial"/>
        </w:rPr>
      </w:pPr>
      <w:r>
        <w:rPr>
          <w:rFonts w:ascii="Arial" w:hAnsi="Arial" w:cs="Arial"/>
        </w:rPr>
        <w:t xml:space="preserve">The </w:t>
      </w:r>
      <w:r w:rsidRPr="00274EA1">
        <w:rPr>
          <w:rFonts w:ascii="Arial" w:hAnsi="Arial" w:cs="Arial"/>
        </w:rPr>
        <w:t>service has a behaviour support strategy meeting weekly</w:t>
      </w:r>
      <w:r>
        <w:rPr>
          <w:rFonts w:ascii="Arial" w:hAnsi="Arial" w:cs="Arial"/>
        </w:rPr>
        <w:t>, and a</w:t>
      </w:r>
      <w:r w:rsidRPr="00274EA1">
        <w:rPr>
          <w:rFonts w:ascii="Arial" w:hAnsi="Arial" w:cs="Arial"/>
        </w:rPr>
        <w:t xml:space="preserve"> report is generated by the </w:t>
      </w:r>
      <w:r>
        <w:rPr>
          <w:rFonts w:ascii="Arial" w:hAnsi="Arial" w:cs="Arial"/>
        </w:rPr>
        <w:t xml:space="preserve">care manager </w:t>
      </w:r>
      <w:r w:rsidRPr="00274EA1">
        <w:rPr>
          <w:rFonts w:ascii="Arial" w:hAnsi="Arial" w:cs="Arial"/>
        </w:rPr>
        <w:t>to reflect all consumer behaviours documented by staff during the week. Care and service reviews for consumers who have changed behaviours shows behaviour support is provided</w:t>
      </w:r>
      <w:r>
        <w:rPr>
          <w:rFonts w:ascii="Arial" w:hAnsi="Arial" w:cs="Arial"/>
        </w:rPr>
        <w:t>.</w:t>
      </w:r>
    </w:p>
    <w:p w14:paraId="1CB0F28A" w14:textId="77777777" w:rsidR="00B71C40" w:rsidRPr="00274EA1" w:rsidRDefault="00B71C40" w:rsidP="00274EA1">
      <w:pPr>
        <w:spacing w:line="22" w:lineRule="atLeast"/>
        <w:rPr>
          <w:rFonts w:ascii="Arial" w:hAnsi="Arial" w:cs="Arial"/>
        </w:rPr>
      </w:pPr>
      <w:r w:rsidRPr="00B71C40">
        <w:rPr>
          <w:rFonts w:ascii="Arial" w:hAnsi="Arial" w:cs="Arial"/>
        </w:rPr>
        <w:t>While there was some negative feedback from one consumer in relation to their personal care, the feedback from consumers and</w:t>
      </w:r>
      <w:r>
        <w:rPr>
          <w:rFonts w:ascii="Arial" w:hAnsi="Arial" w:cs="Arial"/>
        </w:rPr>
        <w:t xml:space="preserve">/or </w:t>
      </w:r>
      <w:r w:rsidRPr="00B71C40">
        <w:rPr>
          <w:rFonts w:ascii="Arial" w:hAnsi="Arial" w:cs="Arial"/>
        </w:rPr>
        <w:t xml:space="preserve">representatives was mostly positive. Review of consumer care and service records showed the service is managing consumer skin integrity and wounds effectively, however documentation is minimal in relation to wound evaluation and description. This has been identified and acknowledged by the service and education has commenced with further education organised for staff. Safe and effective care is being provided for consumers in other areas such as pain management, incident management and the provision of behaviour support. </w:t>
      </w:r>
    </w:p>
    <w:p w14:paraId="4B5565E8" w14:textId="77777777" w:rsidR="00C14715" w:rsidRDefault="00C14715" w:rsidP="00C14715">
      <w:pPr>
        <w:spacing w:line="22" w:lineRule="atLeast"/>
        <w:rPr>
          <w:rFonts w:ascii="Arial" w:hAnsi="Arial" w:cs="Arial"/>
        </w:rPr>
      </w:pPr>
      <w:r w:rsidRPr="00274EA1">
        <w:rPr>
          <w:rFonts w:ascii="Arial" w:hAnsi="Arial" w:cs="Arial"/>
        </w:rPr>
        <w:t>Requirement 3(3)(</w:t>
      </w:r>
      <w:r>
        <w:rPr>
          <w:rFonts w:ascii="Arial" w:hAnsi="Arial" w:cs="Arial"/>
        </w:rPr>
        <w:t>b</w:t>
      </w:r>
      <w:r w:rsidRPr="00274EA1">
        <w:rPr>
          <w:rFonts w:ascii="Arial" w:hAnsi="Arial" w:cs="Arial"/>
        </w:rPr>
        <w:t>) was found to be non-compliant at a previous assessment. Since that time the Approved Provider implemented actions to address the non-compliance.</w:t>
      </w:r>
    </w:p>
    <w:p w14:paraId="263363F4" w14:textId="512C11D2" w:rsidR="002109F0" w:rsidRDefault="002109F0" w:rsidP="002109F0">
      <w:pPr>
        <w:spacing w:line="22" w:lineRule="atLeast"/>
        <w:rPr>
          <w:rFonts w:ascii="Arial" w:hAnsi="Arial" w:cs="Arial"/>
        </w:rPr>
      </w:pPr>
      <w:r>
        <w:rPr>
          <w:rFonts w:ascii="Arial" w:hAnsi="Arial" w:cs="Arial"/>
        </w:rPr>
        <w:t>T</w:t>
      </w:r>
      <w:r w:rsidRPr="002109F0">
        <w:rPr>
          <w:rFonts w:ascii="Arial" w:hAnsi="Arial" w:cs="Arial"/>
        </w:rPr>
        <w:t>he service demonstrated they have effective processes in place to manage high-impact and high-prevalence risks associated with the care of each consumer. The process include</w:t>
      </w:r>
      <w:r w:rsidR="00462E3E">
        <w:rPr>
          <w:rFonts w:ascii="Arial" w:hAnsi="Arial" w:cs="Arial"/>
        </w:rPr>
        <w:t>s</w:t>
      </w:r>
      <w:r w:rsidRPr="002109F0">
        <w:rPr>
          <w:rFonts w:ascii="Arial" w:hAnsi="Arial" w:cs="Arial"/>
        </w:rPr>
        <w:t xml:space="preserve"> a high-impact high prevalence risk list generated by the </w:t>
      </w:r>
      <w:r w:rsidR="00462E3E">
        <w:rPr>
          <w:rFonts w:ascii="Arial" w:hAnsi="Arial" w:cs="Arial"/>
        </w:rPr>
        <w:t xml:space="preserve">care manager </w:t>
      </w:r>
      <w:r w:rsidRPr="002109F0">
        <w:rPr>
          <w:rFonts w:ascii="Arial" w:hAnsi="Arial" w:cs="Arial"/>
        </w:rPr>
        <w:t xml:space="preserve">weekly which flags the top </w:t>
      </w:r>
      <w:r w:rsidR="00462E3E">
        <w:rPr>
          <w:rFonts w:ascii="Arial" w:hAnsi="Arial" w:cs="Arial"/>
        </w:rPr>
        <w:t>ten</w:t>
      </w:r>
      <w:r w:rsidRPr="002109F0">
        <w:rPr>
          <w:rFonts w:ascii="Arial" w:hAnsi="Arial" w:cs="Arial"/>
        </w:rPr>
        <w:t xml:space="preserve"> consumers at higher risk and consumers with increasing risk. For example, consumers experiencing new pain, wounds, infections, weight loss and all falls and incidents. The list supports a handover sheet which is documented on by the </w:t>
      </w:r>
      <w:r w:rsidR="00462E3E">
        <w:rPr>
          <w:rFonts w:ascii="Arial" w:hAnsi="Arial" w:cs="Arial"/>
        </w:rPr>
        <w:t xml:space="preserve">registered nurses </w:t>
      </w:r>
      <w:r w:rsidRPr="002109F0">
        <w:rPr>
          <w:rFonts w:ascii="Arial" w:hAnsi="Arial" w:cs="Arial"/>
        </w:rPr>
        <w:t xml:space="preserve">each shift. The service has </w:t>
      </w:r>
      <w:r w:rsidR="005206AC" w:rsidRPr="002109F0">
        <w:rPr>
          <w:rFonts w:ascii="Arial" w:hAnsi="Arial" w:cs="Arial"/>
        </w:rPr>
        <w:t>a</w:t>
      </w:r>
      <w:r w:rsidRPr="002109F0">
        <w:rPr>
          <w:rFonts w:ascii="Arial" w:hAnsi="Arial" w:cs="Arial"/>
        </w:rPr>
        <w:t xml:space="preserve"> </w:t>
      </w:r>
      <w:r w:rsidR="00462E3E">
        <w:rPr>
          <w:rFonts w:ascii="Arial" w:hAnsi="Arial" w:cs="Arial"/>
        </w:rPr>
        <w:t xml:space="preserve">nurse practitioner </w:t>
      </w:r>
      <w:r w:rsidRPr="002109F0">
        <w:rPr>
          <w:rFonts w:ascii="Arial" w:hAnsi="Arial" w:cs="Arial"/>
        </w:rPr>
        <w:t xml:space="preserve">support program, and the information in the list is emailed to the </w:t>
      </w:r>
      <w:r w:rsidR="00462E3E">
        <w:rPr>
          <w:rFonts w:ascii="Arial" w:hAnsi="Arial" w:cs="Arial"/>
        </w:rPr>
        <w:t>nurse practitioner</w:t>
      </w:r>
      <w:r w:rsidRPr="002109F0">
        <w:rPr>
          <w:rFonts w:ascii="Arial" w:hAnsi="Arial" w:cs="Arial"/>
        </w:rPr>
        <w:t xml:space="preserve">. The </w:t>
      </w:r>
      <w:r w:rsidR="00462E3E">
        <w:rPr>
          <w:rFonts w:ascii="Arial" w:hAnsi="Arial" w:cs="Arial"/>
        </w:rPr>
        <w:t xml:space="preserve">nurse practitioner </w:t>
      </w:r>
      <w:r w:rsidRPr="002109F0">
        <w:rPr>
          <w:rFonts w:ascii="Arial" w:hAnsi="Arial" w:cs="Arial"/>
        </w:rPr>
        <w:t>reviews and comments on each consumer</w:t>
      </w:r>
      <w:r w:rsidR="00462E3E">
        <w:rPr>
          <w:rFonts w:ascii="Arial" w:hAnsi="Arial" w:cs="Arial"/>
        </w:rPr>
        <w:t>, t</w:t>
      </w:r>
      <w:r w:rsidRPr="002109F0">
        <w:rPr>
          <w:rFonts w:ascii="Arial" w:hAnsi="Arial" w:cs="Arial"/>
        </w:rPr>
        <w:t>his is documented in the consumer’s progress notes and followed up at twice weekly senior clinical staff meetings.</w:t>
      </w:r>
    </w:p>
    <w:p w14:paraId="1C8E45FC" w14:textId="6062DDF4" w:rsidR="002109F0" w:rsidRDefault="005206AC" w:rsidP="00C14715">
      <w:pPr>
        <w:spacing w:line="22" w:lineRule="atLeast"/>
        <w:rPr>
          <w:rFonts w:ascii="Arial" w:hAnsi="Arial" w:cs="Arial"/>
        </w:rPr>
      </w:pPr>
      <w:r w:rsidRPr="005206AC">
        <w:rPr>
          <w:rFonts w:ascii="Arial" w:hAnsi="Arial" w:cs="Arial"/>
        </w:rPr>
        <w:lastRenderedPageBreak/>
        <w:t>While the right consistency of food as assessed by a speech pathologist was not consistently provided</w:t>
      </w:r>
      <w:r>
        <w:rPr>
          <w:rFonts w:ascii="Arial" w:hAnsi="Arial" w:cs="Arial"/>
        </w:rPr>
        <w:t xml:space="preserve"> for one consumer, increasing the</w:t>
      </w:r>
      <w:r w:rsidRPr="005206AC">
        <w:rPr>
          <w:rFonts w:ascii="Arial" w:hAnsi="Arial" w:cs="Arial"/>
        </w:rPr>
        <w:t xml:space="preserve"> risk of choking, the service has identified and escalated this and increased monitoring to minimise the risk. Overall, the service provided examples and explained the processes being followed to effectively identify, manage, and monitor high-impact and high-prevalence risks associated with the care of the consumers.</w:t>
      </w:r>
    </w:p>
    <w:p w14:paraId="191F8CD2" w14:textId="77777777" w:rsidR="00BD76AF" w:rsidRDefault="00BD76AF" w:rsidP="00BD76AF">
      <w:pPr>
        <w:spacing w:line="22" w:lineRule="atLeast"/>
        <w:rPr>
          <w:rFonts w:ascii="Arial" w:hAnsi="Arial" w:cs="Arial"/>
        </w:rPr>
      </w:pPr>
      <w:r w:rsidRPr="00274EA1">
        <w:rPr>
          <w:rFonts w:ascii="Arial" w:hAnsi="Arial" w:cs="Arial"/>
        </w:rPr>
        <w:t>Requirement 3(3)(</w:t>
      </w:r>
      <w:r>
        <w:rPr>
          <w:rFonts w:ascii="Arial" w:hAnsi="Arial" w:cs="Arial"/>
        </w:rPr>
        <w:t>e</w:t>
      </w:r>
      <w:r w:rsidRPr="00274EA1">
        <w:rPr>
          <w:rFonts w:ascii="Arial" w:hAnsi="Arial" w:cs="Arial"/>
        </w:rPr>
        <w:t>) was found to be non-compliant at a previous assessment. Since that time the Approved Provider implemented actions to address the non-compliance.</w:t>
      </w:r>
    </w:p>
    <w:p w14:paraId="091AD6D4" w14:textId="289FC866" w:rsidR="00462E3E" w:rsidRDefault="00462E3E" w:rsidP="00462E3E">
      <w:pPr>
        <w:spacing w:line="22" w:lineRule="atLeast"/>
        <w:rPr>
          <w:rFonts w:ascii="Arial" w:hAnsi="Arial" w:cs="Arial"/>
        </w:rPr>
      </w:pPr>
      <w:r w:rsidRPr="00462E3E">
        <w:rPr>
          <w:rFonts w:ascii="Arial" w:hAnsi="Arial" w:cs="Arial"/>
        </w:rPr>
        <w:t xml:space="preserve">Observation of the handover process by the Assessment Team showed staff are provided with information about the condition, needs and preferences of the consumers they are caring for at the service. </w:t>
      </w:r>
      <w:r w:rsidR="006B664A">
        <w:rPr>
          <w:rFonts w:ascii="Arial" w:hAnsi="Arial" w:cs="Arial"/>
        </w:rPr>
        <w:t>S</w:t>
      </w:r>
      <w:r w:rsidRPr="00462E3E">
        <w:rPr>
          <w:rFonts w:ascii="Arial" w:hAnsi="Arial" w:cs="Arial"/>
        </w:rPr>
        <w:t>taff are provided with shift charts which show them charting requirements for each consumer</w:t>
      </w:r>
      <w:r w:rsidR="006B664A">
        <w:rPr>
          <w:rFonts w:ascii="Arial" w:hAnsi="Arial" w:cs="Arial"/>
        </w:rPr>
        <w:t>, f</w:t>
      </w:r>
      <w:r w:rsidRPr="00462E3E">
        <w:rPr>
          <w:rFonts w:ascii="Arial" w:hAnsi="Arial" w:cs="Arial"/>
        </w:rPr>
        <w:t xml:space="preserve">or example, food and fluid charts, behaviour charts, sight charts and a weekly environmental restraint chart. Acute changes and care requirement charts are added for changed conditions, for example, post-falls and for vital signs and pain. There was ample evidence of documentation in progress notes to show effective communication with other providers of care, including dietician and speech pathologist.   </w:t>
      </w:r>
    </w:p>
    <w:p w14:paraId="177924DB" w14:textId="1B911B0D" w:rsidR="008F4CE5" w:rsidRDefault="008F4CE5" w:rsidP="00462E3E">
      <w:pPr>
        <w:spacing w:line="22" w:lineRule="atLeast"/>
        <w:rPr>
          <w:rFonts w:ascii="Arial" w:hAnsi="Arial" w:cs="Arial"/>
        </w:rPr>
      </w:pPr>
      <w:r w:rsidRPr="008F4CE5">
        <w:rPr>
          <w:rFonts w:ascii="Arial" w:hAnsi="Arial" w:cs="Arial"/>
        </w:rPr>
        <w:t xml:space="preserve">While the Assessment Team identified some gaps and inconsistent information in care plans, information is well documented about the condition and care needs of consumers in the clinical information systems overall. </w:t>
      </w:r>
      <w:r>
        <w:rPr>
          <w:rFonts w:ascii="Arial" w:hAnsi="Arial" w:cs="Arial"/>
        </w:rPr>
        <w:t>S</w:t>
      </w:r>
      <w:r w:rsidRPr="008F4CE5">
        <w:rPr>
          <w:rFonts w:ascii="Arial" w:hAnsi="Arial" w:cs="Arial"/>
        </w:rPr>
        <w:t>taff were able to describe and provide the appropriate care and services required. Information has been communicated to other providers of care and their information is documented in consumer care and service records.</w:t>
      </w:r>
    </w:p>
    <w:p w14:paraId="5712CBD2" w14:textId="77777777" w:rsidR="00326DD3" w:rsidRPr="00462E3E" w:rsidRDefault="00326DD3" w:rsidP="00462E3E">
      <w:pPr>
        <w:spacing w:line="22" w:lineRule="atLeast"/>
        <w:rPr>
          <w:rFonts w:ascii="Arial" w:hAnsi="Arial" w:cs="Arial"/>
        </w:rPr>
      </w:pPr>
    </w:p>
    <w:p w14:paraId="461AD524" w14:textId="77777777" w:rsidR="00462E3E" w:rsidRPr="00274EA1" w:rsidRDefault="00462E3E" w:rsidP="00BD76AF">
      <w:pPr>
        <w:spacing w:line="22" w:lineRule="atLeast"/>
        <w:rPr>
          <w:rFonts w:ascii="Arial" w:hAnsi="Arial" w:cs="Arial"/>
        </w:rPr>
      </w:pPr>
    </w:p>
    <w:p w14:paraId="6A6A1793" w14:textId="77777777" w:rsidR="00BD76AF" w:rsidRPr="00274EA1" w:rsidRDefault="00BD76AF" w:rsidP="00C14715">
      <w:pPr>
        <w:spacing w:line="22" w:lineRule="atLeast"/>
        <w:rPr>
          <w:rFonts w:ascii="Arial" w:hAnsi="Arial" w:cs="Arial"/>
        </w:rPr>
      </w:pPr>
    </w:p>
    <w:p w14:paraId="03174097" w14:textId="77777777" w:rsidR="00E36AEC" w:rsidRPr="00274EA1" w:rsidRDefault="00D703C4" w:rsidP="00274EA1">
      <w:pPr>
        <w:spacing w:line="22" w:lineRule="atLeast"/>
        <w:rPr>
          <w:rFonts w:ascii="Arial" w:hAnsi="Arial" w:cs="Arial"/>
        </w:rPr>
      </w:pPr>
      <w:r w:rsidRPr="00274EA1">
        <w:rPr>
          <w:rFonts w:ascii="Arial" w:hAnsi="Arial" w:cs="Arial"/>
        </w:rPr>
        <w:br w:type="page"/>
      </w:r>
    </w:p>
    <w:p w14:paraId="2E15A0B2" w14:textId="77777777" w:rsidR="00E36AEC" w:rsidRPr="00996FAF" w:rsidRDefault="00D703C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6758D" w14:paraId="7A2CB303" w14:textId="77777777" w:rsidTr="00467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C29D38" w14:textId="77777777" w:rsidR="00E36AEC" w:rsidRPr="00996FAF" w:rsidRDefault="00D703C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B161B93" w14:textId="77777777" w:rsidR="00E36AEC" w:rsidRPr="00996FAF" w:rsidRDefault="00E36A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758D" w14:paraId="40E9E217" w14:textId="77777777" w:rsidTr="004675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DC676A" w14:textId="77777777" w:rsidR="00E36AEC" w:rsidRPr="00996FAF" w:rsidRDefault="00D703C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5780195" w14:textId="77777777" w:rsidR="00E36AEC" w:rsidRPr="00996FAF" w:rsidRDefault="00D703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E1942F" w14:textId="77777777" w:rsidR="00E36AEC" w:rsidRPr="00996FAF" w:rsidRDefault="00D703C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3FEADDC" w14:textId="77777777" w:rsidR="00E36AEC" w:rsidRPr="00996FAF" w:rsidRDefault="00D703C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60A225" w14:textId="77777777" w:rsidR="00E36AEC" w:rsidRPr="00996FAF" w:rsidRDefault="00D703C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393B63" w14:textId="77777777" w:rsidR="00E36AEC" w:rsidRPr="00996FAF" w:rsidRDefault="00D703C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8A8058D" w14:textId="77777777" w:rsidR="00E36AEC" w:rsidRPr="00996FAF" w:rsidRDefault="00ED222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4758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703C4" w:rsidRPr="00384E73">
                  <w:rPr>
                    <w:rFonts w:ascii="Arial" w:hAnsi="Arial" w:cs="Arial"/>
                  </w:rPr>
                  <w:t>Compliant</w:t>
                </w:r>
              </w:sdtContent>
            </w:sdt>
          </w:p>
        </w:tc>
      </w:tr>
      <w:tr w:rsidR="0046758D" w14:paraId="0D5DDC01" w14:textId="77777777" w:rsidTr="004675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936D76" w14:textId="77777777" w:rsidR="00E36AEC" w:rsidRPr="00996FAF" w:rsidRDefault="00D703C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DDB314B" w14:textId="77777777" w:rsidR="00E36AEC" w:rsidRPr="00996FAF" w:rsidRDefault="00D703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FED386" w14:textId="77777777" w:rsidR="00E36AEC" w:rsidRPr="00996FAF" w:rsidRDefault="00D703C4"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705AE3E" w14:textId="77777777" w:rsidR="00E36AEC" w:rsidRPr="00996FAF" w:rsidRDefault="00D703C4"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FFA7664" w14:textId="77777777" w:rsidR="00E36AEC" w:rsidRPr="00996FAF" w:rsidRDefault="00D703C4"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69C8318" w14:textId="77777777" w:rsidR="00E36AEC" w:rsidRPr="00996FAF" w:rsidRDefault="00ED222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18944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703C4" w:rsidRPr="00384E73">
                  <w:rPr>
                    <w:rFonts w:ascii="Arial" w:hAnsi="Arial" w:cs="Arial"/>
                  </w:rPr>
                  <w:t>Compliant</w:t>
                </w:r>
              </w:sdtContent>
            </w:sdt>
          </w:p>
        </w:tc>
      </w:tr>
    </w:tbl>
    <w:p w14:paraId="64CDD340" w14:textId="77777777" w:rsidR="00E36AEC" w:rsidRDefault="00D703C4" w:rsidP="00D87E7C">
      <w:pPr>
        <w:pStyle w:val="Heading20"/>
      </w:pPr>
      <w:r w:rsidRPr="00996FAF">
        <w:t>Findings</w:t>
      </w:r>
    </w:p>
    <w:p w14:paraId="472E23A1" w14:textId="77777777" w:rsidR="007D7CD4" w:rsidRDefault="007D7CD4" w:rsidP="007D7CD4">
      <w:pPr>
        <w:spacing w:line="22" w:lineRule="atLeast"/>
        <w:rPr>
          <w:rFonts w:ascii="Arial" w:hAnsi="Arial" w:cs="Arial"/>
        </w:rPr>
      </w:pPr>
      <w:r w:rsidRPr="00274EA1">
        <w:rPr>
          <w:rFonts w:ascii="Arial" w:hAnsi="Arial" w:cs="Arial"/>
        </w:rPr>
        <w:t xml:space="preserve">Requirement </w:t>
      </w:r>
      <w:r>
        <w:rPr>
          <w:rFonts w:ascii="Arial" w:hAnsi="Arial" w:cs="Arial"/>
        </w:rPr>
        <w:t>8</w:t>
      </w:r>
      <w:r w:rsidRPr="00274EA1">
        <w:rPr>
          <w:rFonts w:ascii="Arial" w:hAnsi="Arial" w:cs="Arial"/>
        </w:rPr>
        <w:t>(3)(</w:t>
      </w:r>
      <w:r>
        <w:rPr>
          <w:rFonts w:ascii="Arial" w:hAnsi="Arial" w:cs="Arial"/>
        </w:rPr>
        <w:t>d</w:t>
      </w:r>
      <w:r w:rsidRPr="00274EA1">
        <w:rPr>
          <w:rFonts w:ascii="Arial" w:hAnsi="Arial" w:cs="Arial"/>
        </w:rPr>
        <w:t>) was found to be non-compliant at a previous assessment. Since that time the Approved Provider implemented actions to address the non-compliance.</w:t>
      </w:r>
    </w:p>
    <w:p w14:paraId="1F8A2002" w14:textId="35D16504" w:rsidR="00141205" w:rsidRPr="005A2205" w:rsidRDefault="00141205" w:rsidP="005A2205">
      <w:pPr>
        <w:spacing w:line="22" w:lineRule="atLeast"/>
        <w:rPr>
          <w:rFonts w:ascii="Arial" w:hAnsi="Arial" w:cs="Arial"/>
        </w:rPr>
      </w:pPr>
      <w:r w:rsidRPr="005A2205">
        <w:rPr>
          <w:rFonts w:ascii="Arial" w:hAnsi="Arial" w:cs="Arial"/>
        </w:rPr>
        <w:t xml:space="preserve">The organisation has a documented risk management framework, which was approved by the governing body in October 2023, and has current policies and procedures. Organisational management outlined the </w:t>
      </w:r>
      <w:r w:rsidR="008D57A0">
        <w:rPr>
          <w:rFonts w:ascii="Arial" w:hAnsi="Arial" w:cs="Arial"/>
        </w:rPr>
        <w:t>B</w:t>
      </w:r>
      <w:r w:rsidRPr="005A2205">
        <w:rPr>
          <w:rFonts w:ascii="Arial" w:hAnsi="Arial" w:cs="Arial"/>
        </w:rPr>
        <w:t xml:space="preserve">oard’s responsibilities for risk management, and the information which the </w:t>
      </w:r>
      <w:r w:rsidR="008D57A0">
        <w:rPr>
          <w:rFonts w:ascii="Arial" w:hAnsi="Arial" w:cs="Arial"/>
        </w:rPr>
        <w:t>B</w:t>
      </w:r>
      <w:r w:rsidRPr="005A2205">
        <w:rPr>
          <w:rFonts w:ascii="Arial" w:hAnsi="Arial" w:cs="Arial"/>
        </w:rPr>
        <w:t xml:space="preserve">oard requests and is provided with to exercise direction and control. Documentation and other information gathered about a sample of the commitments made for organisational risk management shows that </w:t>
      </w:r>
      <w:r w:rsidR="008D57A0" w:rsidRPr="005A2205">
        <w:rPr>
          <w:rFonts w:ascii="Arial" w:hAnsi="Arial" w:cs="Arial"/>
        </w:rPr>
        <w:t>overall,</w:t>
      </w:r>
      <w:r w:rsidRPr="005A2205">
        <w:rPr>
          <w:rFonts w:ascii="Arial" w:hAnsi="Arial" w:cs="Arial"/>
        </w:rPr>
        <w:t xml:space="preserve"> they are being met. Documentation and other information gathered about the </w:t>
      </w:r>
      <w:r w:rsidR="008D57A0">
        <w:rPr>
          <w:rFonts w:ascii="Arial" w:hAnsi="Arial" w:cs="Arial"/>
        </w:rPr>
        <w:t>four</w:t>
      </w:r>
      <w:r w:rsidRPr="005A2205">
        <w:rPr>
          <w:rFonts w:ascii="Arial" w:hAnsi="Arial" w:cs="Arial"/>
        </w:rPr>
        <w:t xml:space="preserve"> sub-requirements of this Requirement, and in relation to the planned closure of the service, shows related risk management.</w:t>
      </w:r>
    </w:p>
    <w:p w14:paraId="2898BBB3" w14:textId="6D588D2C" w:rsidR="005A2205" w:rsidRPr="005A2205" w:rsidRDefault="005A2205" w:rsidP="005A2205">
      <w:pPr>
        <w:spacing w:line="22" w:lineRule="atLeast"/>
        <w:rPr>
          <w:rFonts w:ascii="Arial" w:hAnsi="Arial" w:cs="Arial"/>
        </w:rPr>
      </w:pPr>
      <w:r w:rsidRPr="005A2205">
        <w:rPr>
          <w:rFonts w:ascii="Arial" w:hAnsi="Arial" w:cs="Arial"/>
        </w:rPr>
        <w:t xml:space="preserve">Commitments of the board in the </w:t>
      </w:r>
      <w:r w:rsidR="008D57A0">
        <w:rPr>
          <w:rFonts w:ascii="Arial" w:hAnsi="Arial" w:cs="Arial"/>
        </w:rPr>
        <w:t xml:space="preserve">risk management framework </w:t>
      </w:r>
      <w:r w:rsidRPr="005A2205">
        <w:rPr>
          <w:rFonts w:ascii="Arial" w:hAnsi="Arial" w:cs="Arial"/>
        </w:rPr>
        <w:t xml:space="preserve">include having a risk register and regularly reviewing reports of the organisational risk profile. Review of recent reports to the </w:t>
      </w:r>
      <w:r w:rsidR="008D57A0">
        <w:rPr>
          <w:rFonts w:ascii="Arial" w:hAnsi="Arial" w:cs="Arial"/>
        </w:rPr>
        <w:t>B</w:t>
      </w:r>
      <w:r w:rsidRPr="005A2205">
        <w:rPr>
          <w:rFonts w:ascii="Arial" w:hAnsi="Arial" w:cs="Arial"/>
        </w:rPr>
        <w:t xml:space="preserve">oard and minutes of </w:t>
      </w:r>
      <w:r w:rsidR="008D57A0">
        <w:rPr>
          <w:rFonts w:ascii="Arial" w:hAnsi="Arial" w:cs="Arial"/>
        </w:rPr>
        <w:t>B</w:t>
      </w:r>
      <w:r w:rsidRPr="005A2205">
        <w:rPr>
          <w:rFonts w:ascii="Arial" w:hAnsi="Arial" w:cs="Arial"/>
        </w:rPr>
        <w:t xml:space="preserve">oard and </w:t>
      </w:r>
      <w:r w:rsidR="008D57A0">
        <w:rPr>
          <w:rFonts w:ascii="Arial" w:hAnsi="Arial" w:cs="Arial"/>
        </w:rPr>
        <w:t>B</w:t>
      </w:r>
      <w:r w:rsidRPr="005A2205">
        <w:rPr>
          <w:rFonts w:ascii="Arial" w:hAnsi="Arial" w:cs="Arial"/>
        </w:rPr>
        <w:t>oard sub-committee meetings show this occurs. Organisational management, who prepare the reports and attend those meetings, confirmed it occurs. Links are evident between results outlined relating to specific sub-requirements and the organisational risk register, showing risk management is ongoing.</w:t>
      </w:r>
    </w:p>
    <w:p w14:paraId="0C877550" w14:textId="4D66366D" w:rsidR="005A2205" w:rsidRPr="005A2205" w:rsidRDefault="00284A6B" w:rsidP="005A2205">
      <w:pPr>
        <w:spacing w:line="22" w:lineRule="atLeast"/>
        <w:rPr>
          <w:rFonts w:ascii="Arial" w:hAnsi="Arial" w:cs="Arial"/>
        </w:rPr>
      </w:pPr>
      <w:r>
        <w:rPr>
          <w:rFonts w:ascii="Arial" w:hAnsi="Arial" w:cs="Arial"/>
        </w:rPr>
        <w:t xml:space="preserve">In </w:t>
      </w:r>
      <w:r w:rsidR="005A2205" w:rsidRPr="005A2205">
        <w:rPr>
          <w:rFonts w:ascii="Arial" w:hAnsi="Arial" w:cs="Arial"/>
        </w:rPr>
        <w:t>relation to high-impact and high-prevalence risks associated with the care of consumers, internal and external quality audits are being undertaken and there is data collection, analysis, benchmarking and/or trending in relation to clinical performance indicators, incidents and feedback</w:t>
      </w:r>
      <w:r>
        <w:rPr>
          <w:rFonts w:ascii="Arial" w:hAnsi="Arial" w:cs="Arial"/>
        </w:rPr>
        <w:t xml:space="preserve"> and </w:t>
      </w:r>
      <w:r w:rsidR="005A2205" w:rsidRPr="005A2205">
        <w:rPr>
          <w:rFonts w:ascii="Arial" w:hAnsi="Arial" w:cs="Arial"/>
        </w:rPr>
        <w:t xml:space="preserve">complaints. Results are discussed and action plans developed at service level with input from relevant organisational supports, such as the quality manager. Reports are prepared for and tabled at </w:t>
      </w:r>
      <w:r>
        <w:rPr>
          <w:rFonts w:ascii="Arial" w:hAnsi="Arial" w:cs="Arial"/>
        </w:rPr>
        <w:t>B</w:t>
      </w:r>
      <w:r w:rsidR="005A2205" w:rsidRPr="005A2205">
        <w:rPr>
          <w:rFonts w:ascii="Arial" w:hAnsi="Arial" w:cs="Arial"/>
        </w:rPr>
        <w:t xml:space="preserve">oard sub-committee and </w:t>
      </w:r>
      <w:r>
        <w:rPr>
          <w:rFonts w:ascii="Arial" w:hAnsi="Arial" w:cs="Arial"/>
        </w:rPr>
        <w:t>B</w:t>
      </w:r>
      <w:r w:rsidR="005A2205" w:rsidRPr="005A2205">
        <w:rPr>
          <w:rFonts w:ascii="Arial" w:hAnsi="Arial" w:cs="Arial"/>
        </w:rPr>
        <w:t xml:space="preserve">oard meetings. Clinical risks and risk management is discussed in detail at the quality improvement, clinical </w:t>
      </w:r>
      <w:r w:rsidRPr="005A2205">
        <w:rPr>
          <w:rFonts w:ascii="Arial" w:hAnsi="Arial" w:cs="Arial"/>
        </w:rPr>
        <w:t>risk,</w:t>
      </w:r>
      <w:r w:rsidR="005A2205" w:rsidRPr="005A2205">
        <w:rPr>
          <w:rFonts w:ascii="Arial" w:hAnsi="Arial" w:cs="Arial"/>
        </w:rPr>
        <w:t xml:space="preserve"> and at </w:t>
      </w:r>
      <w:r>
        <w:rPr>
          <w:rFonts w:ascii="Arial" w:hAnsi="Arial" w:cs="Arial"/>
        </w:rPr>
        <w:t>B</w:t>
      </w:r>
      <w:r w:rsidR="005A2205" w:rsidRPr="005A2205">
        <w:rPr>
          <w:rFonts w:ascii="Arial" w:hAnsi="Arial" w:cs="Arial"/>
        </w:rPr>
        <w:t>oard meetings.</w:t>
      </w:r>
    </w:p>
    <w:p w14:paraId="5BEDFF43" w14:textId="6E5CC63E" w:rsidR="005A2205" w:rsidRPr="005A2205" w:rsidRDefault="004F53DD" w:rsidP="005A2205">
      <w:pPr>
        <w:spacing w:line="22" w:lineRule="atLeast"/>
        <w:rPr>
          <w:rFonts w:ascii="Arial" w:hAnsi="Arial" w:cs="Arial"/>
        </w:rPr>
      </w:pPr>
      <w:r>
        <w:rPr>
          <w:rFonts w:ascii="Arial" w:hAnsi="Arial" w:cs="Arial"/>
        </w:rPr>
        <w:t xml:space="preserve">In </w:t>
      </w:r>
      <w:r w:rsidR="005A2205" w:rsidRPr="005A2205">
        <w:rPr>
          <w:rFonts w:ascii="Arial" w:hAnsi="Arial" w:cs="Arial"/>
        </w:rPr>
        <w:t xml:space="preserve">relation to identifying and responding to the abuse and neglect of consumers and the incident management system, review of documentation relating to incidents – including some recent </w:t>
      </w:r>
      <w:r w:rsidR="00894CAB" w:rsidRPr="005A2205">
        <w:rPr>
          <w:rFonts w:ascii="Arial" w:hAnsi="Arial" w:cs="Arial"/>
        </w:rPr>
        <w:t>S</w:t>
      </w:r>
      <w:r w:rsidR="00894CAB">
        <w:rPr>
          <w:rFonts w:ascii="Arial" w:hAnsi="Arial" w:cs="Arial"/>
        </w:rPr>
        <w:t>erious</w:t>
      </w:r>
      <w:r>
        <w:rPr>
          <w:rFonts w:ascii="Arial" w:hAnsi="Arial" w:cs="Arial"/>
        </w:rPr>
        <w:t xml:space="preserve"> </w:t>
      </w:r>
      <w:r w:rsidR="005A2205" w:rsidRPr="005A2205">
        <w:rPr>
          <w:rFonts w:ascii="Arial" w:hAnsi="Arial" w:cs="Arial"/>
        </w:rPr>
        <w:t>I</w:t>
      </w:r>
      <w:r>
        <w:rPr>
          <w:rFonts w:ascii="Arial" w:hAnsi="Arial" w:cs="Arial"/>
        </w:rPr>
        <w:t xml:space="preserve">ncident </w:t>
      </w:r>
      <w:r w:rsidR="005A2205" w:rsidRPr="005A2205">
        <w:rPr>
          <w:rFonts w:ascii="Arial" w:hAnsi="Arial" w:cs="Arial"/>
        </w:rPr>
        <w:t>R</w:t>
      </w:r>
      <w:r>
        <w:rPr>
          <w:rFonts w:ascii="Arial" w:hAnsi="Arial" w:cs="Arial"/>
        </w:rPr>
        <w:t xml:space="preserve">esponse </w:t>
      </w:r>
      <w:r w:rsidR="005A2205" w:rsidRPr="005A2205">
        <w:rPr>
          <w:rFonts w:ascii="Arial" w:hAnsi="Arial" w:cs="Arial"/>
        </w:rPr>
        <w:t>S</w:t>
      </w:r>
      <w:r>
        <w:rPr>
          <w:rFonts w:ascii="Arial" w:hAnsi="Arial" w:cs="Arial"/>
        </w:rPr>
        <w:t xml:space="preserve">cheme </w:t>
      </w:r>
      <w:r w:rsidR="005A2205" w:rsidRPr="005A2205">
        <w:rPr>
          <w:rFonts w:ascii="Arial" w:hAnsi="Arial" w:cs="Arial"/>
        </w:rPr>
        <w:t xml:space="preserve">incidents – shows investigation occurs and there is related </w:t>
      </w:r>
      <w:r w:rsidR="005A2205" w:rsidRPr="005A2205">
        <w:rPr>
          <w:rFonts w:ascii="Arial" w:hAnsi="Arial" w:cs="Arial"/>
        </w:rPr>
        <w:lastRenderedPageBreak/>
        <w:t xml:space="preserve">follow-up, such as actions to prevent recurrence for individuals and systemic improvements. There is a first party review of individual incidents by one of the service managers and a second party review by the organisational quality manager. Information about the incidents, reviews and outcomes are reported to the executive and </w:t>
      </w:r>
      <w:r>
        <w:rPr>
          <w:rFonts w:ascii="Arial" w:hAnsi="Arial" w:cs="Arial"/>
        </w:rPr>
        <w:t>B</w:t>
      </w:r>
      <w:r w:rsidR="005A2205" w:rsidRPr="005A2205">
        <w:rPr>
          <w:rFonts w:ascii="Arial" w:hAnsi="Arial" w:cs="Arial"/>
        </w:rPr>
        <w:t xml:space="preserve">oard. Review of </w:t>
      </w:r>
      <w:r>
        <w:rPr>
          <w:rFonts w:ascii="Arial" w:hAnsi="Arial" w:cs="Arial"/>
        </w:rPr>
        <w:t>B</w:t>
      </w:r>
      <w:r w:rsidR="005A2205" w:rsidRPr="005A2205">
        <w:rPr>
          <w:rFonts w:ascii="Arial" w:hAnsi="Arial" w:cs="Arial"/>
        </w:rPr>
        <w:t xml:space="preserve">oard and </w:t>
      </w:r>
      <w:r w:rsidR="00894CAB">
        <w:rPr>
          <w:rFonts w:ascii="Arial" w:hAnsi="Arial" w:cs="Arial"/>
        </w:rPr>
        <w:t>B</w:t>
      </w:r>
      <w:r w:rsidR="005A2205" w:rsidRPr="005A2205">
        <w:rPr>
          <w:rFonts w:ascii="Arial" w:hAnsi="Arial" w:cs="Arial"/>
        </w:rPr>
        <w:t xml:space="preserve">oard sub-committee meeting minutes shows the board scrutinises the information and, in some cases, requests further information for effective oversight. </w:t>
      </w:r>
    </w:p>
    <w:p w14:paraId="7C019A12" w14:textId="2ED0831F" w:rsidR="00141205" w:rsidRPr="00274EA1" w:rsidRDefault="008D57A0" w:rsidP="007D7CD4">
      <w:pPr>
        <w:spacing w:line="22" w:lineRule="atLeast"/>
        <w:rPr>
          <w:rFonts w:ascii="Arial" w:hAnsi="Arial" w:cs="Arial"/>
        </w:rPr>
      </w:pPr>
      <w:r>
        <w:rPr>
          <w:rFonts w:ascii="Arial" w:hAnsi="Arial" w:cs="Arial"/>
        </w:rPr>
        <w:t xml:space="preserve">The Assessment Team identified areas for improvement related to the risk register, however the provider had already identified this and had implemented actions to address the deficits. </w:t>
      </w:r>
    </w:p>
    <w:p w14:paraId="5019A81C" w14:textId="77777777" w:rsidR="007D7CD4" w:rsidRDefault="007D7CD4" w:rsidP="007D7CD4">
      <w:pPr>
        <w:spacing w:line="22" w:lineRule="atLeast"/>
        <w:rPr>
          <w:rFonts w:ascii="Arial" w:hAnsi="Arial" w:cs="Arial"/>
        </w:rPr>
      </w:pPr>
      <w:r w:rsidRPr="00274EA1">
        <w:rPr>
          <w:rFonts w:ascii="Arial" w:hAnsi="Arial" w:cs="Arial"/>
        </w:rPr>
        <w:t xml:space="preserve">Requirement </w:t>
      </w:r>
      <w:r>
        <w:rPr>
          <w:rFonts w:ascii="Arial" w:hAnsi="Arial" w:cs="Arial"/>
        </w:rPr>
        <w:t>8</w:t>
      </w:r>
      <w:r w:rsidRPr="00274EA1">
        <w:rPr>
          <w:rFonts w:ascii="Arial" w:hAnsi="Arial" w:cs="Arial"/>
        </w:rPr>
        <w:t>(3)(</w:t>
      </w:r>
      <w:r>
        <w:rPr>
          <w:rFonts w:ascii="Arial" w:hAnsi="Arial" w:cs="Arial"/>
        </w:rPr>
        <w:t>e</w:t>
      </w:r>
      <w:r w:rsidRPr="00274EA1">
        <w:rPr>
          <w:rFonts w:ascii="Arial" w:hAnsi="Arial" w:cs="Arial"/>
        </w:rPr>
        <w:t>) was found to be non-compliant at a previous assessment. Since that time the Approved Provider implemented actions to address the non-compliance.</w:t>
      </w:r>
    </w:p>
    <w:p w14:paraId="3C05CC15" w14:textId="1D7D4998" w:rsidR="004C7986" w:rsidRPr="004C7986" w:rsidRDefault="004C7986" w:rsidP="004C7986">
      <w:pPr>
        <w:spacing w:line="22" w:lineRule="atLeast"/>
        <w:rPr>
          <w:rFonts w:ascii="Arial" w:hAnsi="Arial" w:cs="Arial"/>
        </w:rPr>
      </w:pPr>
      <w:r w:rsidRPr="004C7986">
        <w:rPr>
          <w:rFonts w:ascii="Arial" w:hAnsi="Arial" w:cs="Arial"/>
        </w:rPr>
        <w:t xml:space="preserve">The organisation has a documented </w:t>
      </w:r>
      <w:r>
        <w:rPr>
          <w:rFonts w:ascii="Arial" w:hAnsi="Arial" w:cs="Arial"/>
        </w:rPr>
        <w:t xml:space="preserve">clinical governance framework </w:t>
      </w:r>
      <w:r w:rsidRPr="004C7986">
        <w:rPr>
          <w:rFonts w:ascii="Arial" w:hAnsi="Arial" w:cs="Arial"/>
        </w:rPr>
        <w:t xml:space="preserve">approved by the </w:t>
      </w:r>
      <w:r>
        <w:rPr>
          <w:rFonts w:ascii="Arial" w:hAnsi="Arial" w:cs="Arial"/>
        </w:rPr>
        <w:t>B</w:t>
      </w:r>
      <w:r w:rsidRPr="004C7986">
        <w:rPr>
          <w:rFonts w:ascii="Arial" w:hAnsi="Arial" w:cs="Arial"/>
        </w:rPr>
        <w:t xml:space="preserve">oard in October 2023 and current policies and procedures. Organisational management outlined the </w:t>
      </w:r>
      <w:r>
        <w:rPr>
          <w:rFonts w:ascii="Arial" w:hAnsi="Arial" w:cs="Arial"/>
        </w:rPr>
        <w:t>B</w:t>
      </w:r>
      <w:r w:rsidRPr="004C7986">
        <w:rPr>
          <w:rFonts w:ascii="Arial" w:hAnsi="Arial" w:cs="Arial"/>
        </w:rPr>
        <w:t xml:space="preserve">oard’s responsibilities for safe and quality care, and the information the </w:t>
      </w:r>
      <w:r>
        <w:rPr>
          <w:rFonts w:ascii="Arial" w:hAnsi="Arial" w:cs="Arial"/>
        </w:rPr>
        <w:t>B</w:t>
      </w:r>
      <w:r w:rsidRPr="004C7986">
        <w:rPr>
          <w:rFonts w:ascii="Arial" w:hAnsi="Arial" w:cs="Arial"/>
        </w:rPr>
        <w:t>oard requests and is provided with to exercise direction and control. Documentation and other information gathered about the commitments made for organisational clinical governance shows they are being met in practice. Documentation and other information gathered about the sub-requirements of this Requirement shows effective clinical governance.</w:t>
      </w:r>
    </w:p>
    <w:p w14:paraId="453B0997" w14:textId="195E0E6A" w:rsidR="004C7986" w:rsidRPr="004C7986" w:rsidRDefault="004C7986" w:rsidP="004C7986">
      <w:pPr>
        <w:spacing w:line="22" w:lineRule="atLeast"/>
        <w:rPr>
          <w:rFonts w:ascii="Arial" w:hAnsi="Arial" w:cs="Arial"/>
        </w:rPr>
      </w:pPr>
      <w:r w:rsidRPr="004C7986">
        <w:rPr>
          <w:rFonts w:ascii="Arial" w:hAnsi="Arial" w:cs="Arial"/>
        </w:rPr>
        <w:t xml:space="preserve">The </w:t>
      </w:r>
      <w:r>
        <w:rPr>
          <w:rFonts w:ascii="Arial" w:hAnsi="Arial" w:cs="Arial"/>
        </w:rPr>
        <w:t xml:space="preserve">clinical governance framework </w:t>
      </w:r>
      <w:r w:rsidRPr="004C7986">
        <w:rPr>
          <w:rFonts w:ascii="Arial" w:hAnsi="Arial" w:cs="Arial"/>
        </w:rPr>
        <w:t xml:space="preserve">includes a commitment to systematic monitoring of safety and quality performance, and a commitment that the </w:t>
      </w:r>
      <w:r>
        <w:rPr>
          <w:rFonts w:ascii="Arial" w:hAnsi="Arial" w:cs="Arial"/>
        </w:rPr>
        <w:t>B</w:t>
      </w:r>
      <w:r w:rsidRPr="004C7986">
        <w:rPr>
          <w:rFonts w:ascii="Arial" w:hAnsi="Arial" w:cs="Arial"/>
        </w:rPr>
        <w:t xml:space="preserve">oard receives reports and monitors progress on safety and quality performance and outcomes. Review of documentation and interviews with organisational and service management shows that data and information about clinical performance and effectiveness is being collated, analysed, benchmarked and/or trended, and reported on routinely and </w:t>
      </w:r>
      <w:r>
        <w:rPr>
          <w:rFonts w:ascii="Arial" w:hAnsi="Arial" w:cs="Arial"/>
        </w:rPr>
        <w:t>as needed</w:t>
      </w:r>
      <w:r w:rsidRPr="004C7986">
        <w:rPr>
          <w:rFonts w:ascii="Arial" w:hAnsi="Arial" w:cs="Arial"/>
        </w:rPr>
        <w:t xml:space="preserve">. Discussions take place at service level meetings where action plans are developed, if needed. This information is used to inform reporting to the executive and </w:t>
      </w:r>
      <w:r>
        <w:rPr>
          <w:rFonts w:ascii="Arial" w:hAnsi="Arial" w:cs="Arial"/>
        </w:rPr>
        <w:t>B</w:t>
      </w:r>
      <w:r w:rsidRPr="004C7986">
        <w:rPr>
          <w:rFonts w:ascii="Arial" w:hAnsi="Arial" w:cs="Arial"/>
        </w:rPr>
        <w:t xml:space="preserve">oard. Minutes of recent </w:t>
      </w:r>
      <w:r>
        <w:rPr>
          <w:rFonts w:ascii="Arial" w:hAnsi="Arial" w:cs="Arial"/>
        </w:rPr>
        <w:t>B</w:t>
      </w:r>
      <w:r w:rsidRPr="004C7986">
        <w:rPr>
          <w:rFonts w:ascii="Arial" w:hAnsi="Arial" w:cs="Arial"/>
        </w:rPr>
        <w:t xml:space="preserve">oard sub-committee and board meetings shows the reports about safety and quality performance and outcomes are being reviewed by the board. </w:t>
      </w:r>
    </w:p>
    <w:p w14:paraId="717CED0B" w14:textId="41BAB28C" w:rsidR="004C7986" w:rsidRPr="004C7986" w:rsidRDefault="004C7986" w:rsidP="007D7CD4">
      <w:pPr>
        <w:spacing w:line="22" w:lineRule="atLeast"/>
        <w:rPr>
          <w:rFonts w:ascii="Arial" w:hAnsi="Arial" w:cs="Arial"/>
        </w:rPr>
      </w:pPr>
      <w:r w:rsidRPr="004C7986">
        <w:rPr>
          <w:rFonts w:ascii="Arial" w:hAnsi="Arial" w:cs="Arial"/>
        </w:rPr>
        <w:t xml:space="preserve">In relation to </w:t>
      </w:r>
      <w:r>
        <w:rPr>
          <w:rFonts w:ascii="Arial" w:hAnsi="Arial" w:cs="Arial"/>
        </w:rPr>
        <w:t>antimicrobial stewardship</w:t>
      </w:r>
      <w:r w:rsidRPr="004C7986">
        <w:rPr>
          <w:rFonts w:ascii="Arial" w:hAnsi="Arial" w:cs="Arial"/>
        </w:rPr>
        <w:t xml:space="preserve">, there are regular reviews and audits of service performance with results discussed at service-level meetings. Review of related documentation shows a focus on encouraging doctors to order pathology testing for consumers, where appropriate, and to review results prior to prescribing antimicrobials. Data, analysis, and trends in infection rates are regularly reported on, including to the </w:t>
      </w:r>
      <w:r>
        <w:rPr>
          <w:rFonts w:ascii="Arial" w:hAnsi="Arial" w:cs="Arial"/>
        </w:rPr>
        <w:t>B</w:t>
      </w:r>
      <w:r w:rsidRPr="004C7986">
        <w:rPr>
          <w:rFonts w:ascii="Arial" w:hAnsi="Arial" w:cs="Arial"/>
        </w:rPr>
        <w:t>oard, with analysis showing attention is also paid to appropriate antimicrobial use.</w:t>
      </w:r>
    </w:p>
    <w:p w14:paraId="4B601596" w14:textId="66B42D47" w:rsidR="004C7986" w:rsidRPr="004C7986" w:rsidRDefault="004C7986" w:rsidP="004C7986">
      <w:pPr>
        <w:spacing w:line="22" w:lineRule="atLeast"/>
        <w:rPr>
          <w:rFonts w:ascii="Arial" w:hAnsi="Arial" w:cs="Arial"/>
        </w:rPr>
      </w:pPr>
      <w:r w:rsidRPr="004C7986">
        <w:rPr>
          <w:rFonts w:ascii="Arial" w:hAnsi="Arial" w:cs="Arial"/>
        </w:rPr>
        <w:t xml:space="preserve">In relation to minimising the use of restraint, service management had data and information readily available about the types and reasons for use of restrictive practices with consumers showing ongoing oversight. Organisational management </w:t>
      </w:r>
      <w:r w:rsidR="00F47677">
        <w:rPr>
          <w:rFonts w:ascii="Arial" w:hAnsi="Arial" w:cs="Arial"/>
        </w:rPr>
        <w:t>had identified some concerns related to the</w:t>
      </w:r>
      <w:r w:rsidRPr="004C7986">
        <w:rPr>
          <w:rFonts w:ascii="Arial" w:hAnsi="Arial" w:cs="Arial"/>
        </w:rPr>
        <w:t xml:space="preserve"> use of antipsychotics </w:t>
      </w:r>
      <w:r w:rsidR="00F47677">
        <w:rPr>
          <w:rFonts w:ascii="Arial" w:hAnsi="Arial" w:cs="Arial"/>
        </w:rPr>
        <w:t>and</w:t>
      </w:r>
      <w:r w:rsidRPr="004C7986">
        <w:rPr>
          <w:rFonts w:ascii="Arial" w:hAnsi="Arial" w:cs="Arial"/>
        </w:rPr>
        <w:t xml:space="preserve"> consumer diagnosis. </w:t>
      </w:r>
      <w:r w:rsidR="00F47677">
        <w:rPr>
          <w:rFonts w:ascii="Arial" w:hAnsi="Arial" w:cs="Arial"/>
        </w:rPr>
        <w:t xml:space="preserve">Management </w:t>
      </w:r>
      <w:r w:rsidRPr="004C7986">
        <w:rPr>
          <w:rFonts w:ascii="Arial" w:hAnsi="Arial" w:cs="Arial"/>
        </w:rPr>
        <w:t>explained work has been undertaken to understand th</w:t>
      </w:r>
      <w:r w:rsidR="00F47677">
        <w:rPr>
          <w:rFonts w:ascii="Arial" w:hAnsi="Arial" w:cs="Arial"/>
        </w:rPr>
        <w:t>e identified concerns</w:t>
      </w:r>
      <w:r w:rsidRPr="004C7986">
        <w:rPr>
          <w:rFonts w:ascii="Arial" w:hAnsi="Arial" w:cs="Arial"/>
        </w:rPr>
        <w:t xml:space="preserve">, which found some </w:t>
      </w:r>
      <w:r w:rsidR="00F47677">
        <w:rPr>
          <w:rFonts w:ascii="Arial" w:hAnsi="Arial" w:cs="Arial"/>
        </w:rPr>
        <w:t xml:space="preserve">incorrect </w:t>
      </w:r>
      <w:r w:rsidRPr="004C7986">
        <w:rPr>
          <w:rFonts w:ascii="Arial" w:hAnsi="Arial" w:cs="Arial"/>
        </w:rPr>
        <w:t>reporting</w:t>
      </w:r>
      <w:r w:rsidR="00F47677">
        <w:rPr>
          <w:rFonts w:ascii="Arial" w:hAnsi="Arial" w:cs="Arial"/>
        </w:rPr>
        <w:t xml:space="preserve"> had occurred as well as a high number of complex care consumers.</w:t>
      </w:r>
      <w:r w:rsidRPr="004C7986">
        <w:rPr>
          <w:rFonts w:ascii="Arial" w:hAnsi="Arial" w:cs="Arial"/>
        </w:rPr>
        <w:t xml:space="preserve"> Information gathered by the Assessment Team in relation to individual consumers and oversight of restrictive practice</w:t>
      </w:r>
      <w:r w:rsidR="00F47677">
        <w:rPr>
          <w:rFonts w:ascii="Arial" w:hAnsi="Arial" w:cs="Arial"/>
        </w:rPr>
        <w:t xml:space="preserve"> usage</w:t>
      </w:r>
      <w:r w:rsidRPr="004C7986">
        <w:rPr>
          <w:rFonts w:ascii="Arial" w:hAnsi="Arial" w:cs="Arial"/>
        </w:rPr>
        <w:t xml:space="preserve">, shows work to minimise </w:t>
      </w:r>
      <w:r w:rsidR="00F47677">
        <w:rPr>
          <w:rFonts w:ascii="Arial" w:hAnsi="Arial" w:cs="Arial"/>
        </w:rPr>
        <w:t xml:space="preserve">the </w:t>
      </w:r>
      <w:r w:rsidRPr="004C7986">
        <w:rPr>
          <w:rFonts w:ascii="Arial" w:hAnsi="Arial" w:cs="Arial"/>
        </w:rPr>
        <w:t xml:space="preserve">use. For example, increased use of a </w:t>
      </w:r>
      <w:r w:rsidR="00F47677">
        <w:rPr>
          <w:rFonts w:ascii="Arial" w:hAnsi="Arial" w:cs="Arial"/>
        </w:rPr>
        <w:t xml:space="preserve">nurse practitioner </w:t>
      </w:r>
      <w:r w:rsidRPr="004C7986">
        <w:rPr>
          <w:rFonts w:ascii="Arial" w:hAnsi="Arial" w:cs="Arial"/>
        </w:rPr>
        <w:t>and D</w:t>
      </w:r>
      <w:r w:rsidR="00F47677">
        <w:rPr>
          <w:rFonts w:ascii="Arial" w:hAnsi="Arial" w:cs="Arial"/>
        </w:rPr>
        <w:t xml:space="preserve">ementia </w:t>
      </w:r>
      <w:r w:rsidRPr="004C7986">
        <w:rPr>
          <w:rFonts w:ascii="Arial" w:hAnsi="Arial" w:cs="Arial"/>
        </w:rPr>
        <w:t>S</w:t>
      </w:r>
      <w:r w:rsidR="00F47677">
        <w:rPr>
          <w:rFonts w:ascii="Arial" w:hAnsi="Arial" w:cs="Arial"/>
        </w:rPr>
        <w:t xml:space="preserve">ervices </w:t>
      </w:r>
      <w:r w:rsidRPr="004C7986">
        <w:rPr>
          <w:rFonts w:ascii="Arial" w:hAnsi="Arial" w:cs="Arial"/>
        </w:rPr>
        <w:t>A</w:t>
      </w:r>
      <w:r w:rsidR="00F47677">
        <w:rPr>
          <w:rFonts w:ascii="Arial" w:hAnsi="Arial" w:cs="Arial"/>
        </w:rPr>
        <w:t>ustralia</w:t>
      </w:r>
      <w:r w:rsidRPr="004C7986">
        <w:rPr>
          <w:rFonts w:ascii="Arial" w:hAnsi="Arial" w:cs="Arial"/>
        </w:rPr>
        <w:t xml:space="preserve"> for consumer behaviour support. Information about use of restrictive practices with consumers is being routinely provided to the </w:t>
      </w:r>
      <w:r w:rsidR="00F47677">
        <w:rPr>
          <w:rFonts w:ascii="Arial" w:hAnsi="Arial" w:cs="Arial"/>
        </w:rPr>
        <w:t>B</w:t>
      </w:r>
      <w:r w:rsidRPr="004C7986">
        <w:rPr>
          <w:rFonts w:ascii="Arial" w:hAnsi="Arial" w:cs="Arial"/>
        </w:rPr>
        <w:t>oard</w:t>
      </w:r>
      <w:r w:rsidR="00F47677">
        <w:rPr>
          <w:rFonts w:ascii="Arial" w:hAnsi="Arial" w:cs="Arial"/>
        </w:rPr>
        <w:t xml:space="preserve"> for review</w:t>
      </w:r>
      <w:r w:rsidRPr="004C7986">
        <w:rPr>
          <w:rFonts w:ascii="Arial" w:hAnsi="Arial" w:cs="Arial"/>
        </w:rPr>
        <w:t xml:space="preserve">.  </w:t>
      </w:r>
    </w:p>
    <w:p w14:paraId="1B23DFA8" w14:textId="234317B0" w:rsidR="004C7986" w:rsidRPr="004C7986" w:rsidRDefault="004C7986" w:rsidP="004C7986">
      <w:pPr>
        <w:spacing w:line="22" w:lineRule="atLeast"/>
        <w:rPr>
          <w:rFonts w:ascii="Arial" w:hAnsi="Arial" w:cs="Arial"/>
        </w:rPr>
      </w:pPr>
      <w:r w:rsidRPr="004C7986">
        <w:rPr>
          <w:rFonts w:ascii="Arial" w:hAnsi="Arial" w:cs="Arial"/>
        </w:rPr>
        <w:t xml:space="preserve">In relation to open disclosure, review of management of individual complaints and </w:t>
      </w:r>
      <w:r w:rsidR="00F47677" w:rsidRPr="004C7986">
        <w:rPr>
          <w:rFonts w:ascii="Arial" w:hAnsi="Arial" w:cs="Arial"/>
        </w:rPr>
        <w:t>S</w:t>
      </w:r>
      <w:r w:rsidR="00F47677">
        <w:rPr>
          <w:rFonts w:ascii="Arial" w:hAnsi="Arial" w:cs="Arial"/>
        </w:rPr>
        <w:t xml:space="preserve">erious </w:t>
      </w:r>
      <w:r w:rsidRPr="004C7986">
        <w:rPr>
          <w:rFonts w:ascii="Arial" w:hAnsi="Arial" w:cs="Arial"/>
        </w:rPr>
        <w:t>I</w:t>
      </w:r>
      <w:r w:rsidR="00F47677">
        <w:rPr>
          <w:rFonts w:ascii="Arial" w:hAnsi="Arial" w:cs="Arial"/>
        </w:rPr>
        <w:t xml:space="preserve">ncident </w:t>
      </w:r>
      <w:r w:rsidRPr="004C7986">
        <w:rPr>
          <w:rFonts w:ascii="Arial" w:hAnsi="Arial" w:cs="Arial"/>
        </w:rPr>
        <w:t>R</w:t>
      </w:r>
      <w:r w:rsidR="00F47677">
        <w:rPr>
          <w:rFonts w:ascii="Arial" w:hAnsi="Arial" w:cs="Arial"/>
        </w:rPr>
        <w:t xml:space="preserve">esponse </w:t>
      </w:r>
      <w:r w:rsidRPr="004C7986">
        <w:rPr>
          <w:rFonts w:ascii="Arial" w:hAnsi="Arial" w:cs="Arial"/>
        </w:rPr>
        <w:t>S</w:t>
      </w:r>
      <w:r w:rsidR="00F47677">
        <w:rPr>
          <w:rFonts w:ascii="Arial" w:hAnsi="Arial" w:cs="Arial"/>
        </w:rPr>
        <w:t>cheme</w:t>
      </w:r>
      <w:r w:rsidRPr="004C7986">
        <w:rPr>
          <w:rFonts w:ascii="Arial" w:hAnsi="Arial" w:cs="Arial"/>
        </w:rPr>
        <w:t xml:space="preserve"> incidents showed open disclosure is being practised and consumers and representatives confirmed this. The </w:t>
      </w:r>
      <w:r w:rsidR="00F47677">
        <w:rPr>
          <w:rFonts w:ascii="Arial" w:hAnsi="Arial" w:cs="Arial"/>
        </w:rPr>
        <w:t>management team</w:t>
      </w:r>
      <w:r w:rsidRPr="004C7986">
        <w:rPr>
          <w:rFonts w:ascii="Arial" w:hAnsi="Arial" w:cs="Arial"/>
        </w:rPr>
        <w:t xml:space="preserve"> have been involved in open disclosure meetings with consumers and/or their representatives. Reports to a </w:t>
      </w:r>
      <w:r w:rsidR="00F47677">
        <w:rPr>
          <w:rFonts w:ascii="Arial" w:hAnsi="Arial" w:cs="Arial"/>
        </w:rPr>
        <w:t>B</w:t>
      </w:r>
      <w:r w:rsidRPr="004C7986">
        <w:rPr>
          <w:rFonts w:ascii="Arial" w:hAnsi="Arial" w:cs="Arial"/>
        </w:rPr>
        <w:t xml:space="preserve">oard sub-committee and to the </w:t>
      </w:r>
      <w:r w:rsidR="00F47677">
        <w:rPr>
          <w:rFonts w:ascii="Arial" w:hAnsi="Arial" w:cs="Arial"/>
        </w:rPr>
        <w:t>B</w:t>
      </w:r>
      <w:r w:rsidRPr="004C7986">
        <w:rPr>
          <w:rFonts w:ascii="Arial" w:hAnsi="Arial" w:cs="Arial"/>
        </w:rPr>
        <w:t>oard include information about complaints and S</w:t>
      </w:r>
      <w:r w:rsidR="00F47677">
        <w:rPr>
          <w:rFonts w:ascii="Arial" w:hAnsi="Arial" w:cs="Arial"/>
        </w:rPr>
        <w:t xml:space="preserve">erious </w:t>
      </w:r>
      <w:r w:rsidRPr="004C7986">
        <w:rPr>
          <w:rFonts w:ascii="Arial" w:hAnsi="Arial" w:cs="Arial"/>
        </w:rPr>
        <w:t>I</w:t>
      </w:r>
      <w:r w:rsidR="00F47677">
        <w:rPr>
          <w:rFonts w:ascii="Arial" w:hAnsi="Arial" w:cs="Arial"/>
        </w:rPr>
        <w:t xml:space="preserve">ncident </w:t>
      </w:r>
      <w:r w:rsidRPr="004C7986">
        <w:rPr>
          <w:rFonts w:ascii="Arial" w:hAnsi="Arial" w:cs="Arial"/>
        </w:rPr>
        <w:lastRenderedPageBreak/>
        <w:t>R</w:t>
      </w:r>
      <w:r w:rsidR="00F47677">
        <w:rPr>
          <w:rFonts w:ascii="Arial" w:hAnsi="Arial" w:cs="Arial"/>
        </w:rPr>
        <w:t xml:space="preserve">esponse </w:t>
      </w:r>
      <w:r w:rsidRPr="004C7986">
        <w:rPr>
          <w:rFonts w:ascii="Arial" w:hAnsi="Arial" w:cs="Arial"/>
        </w:rPr>
        <w:t>S</w:t>
      </w:r>
      <w:r w:rsidR="00F47677">
        <w:rPr>
          <w:rFonts w:ascii="Arial" w:hAnsi="Arial" w:cs="Arial"/>
        </w:rPr>
        <w:t>cheme</w:t>
      </w:r>
      <w:r w:rsidRPr="004C7986">
        <w:rPr>
          <w:rFonts w:ascii="Arial" w:hAnsi="Arial" w:cs="Arial"/>
        </w:rPr>
        <w:t xml:space="preserve"> incidents, and they have sufficient detail to enable the </w:t>
      </w:r>
      <w:r w:rsidR="00F47677">
        <w:rPr>
          <w:rFonts w:ascii="Arial" w:hAnsi="Arial" w:cs="Arial"/>
        </w:rPr>
        <w:t>B</w:t>
      </w:r>
      <w:r w:rsidRPr="004C7986">
        <w:rPr>
          <w:rFonts w:ascii="Arial" w:hAnsi="Arial" w:cs="Arial"/>
        </w:rPr>
        <w:t xml:space="preserve">oard to understand if open disclosure is being practised. </w:t>
      </w:r>
    </w:p>
    <w:p w14:paraId="33D7EAA1" w14:textId="77777777" w:rsidR="004C7986" w:rsidRPr="00274EA1" w:rsidRDefault="004C7986" w:rsidP="007D7CD4">
      <w:pPr>
        <w:spacing w:line="22" w:lineRule="atLeast"/>
        <w:rPr>
          <w:rFonts w:ascii="Arial" w:hAnsi="Arial" w:cs="Arial"/>
        </w:rPr>
      </w:pPr>
    </w:p>
    <w:p w14:paraId="03532519" w14:textId="77777777" w:rsidR="00E36AEC" w:rsidRPr="005A2205" w:rsidRDefault="00E36AEC" w:rsidP="005A2205">
      <w:pPr>
        <w:spacing w:line="22" w:lineRule="atLeast"/>
        <w:rPr>
          <w:rFonts w:ascii="Arial" w:hAnsi="Arial" w:cs="Arial"/>
        </w:rPr>
      </w:pPr>
    </w:p>
    <w:sectPr w:rsidR="00E36AEC" w:rsidRPr="005A220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A6883" w14:textId="77777777" w:rsidR="0019445F" w:rsidRDefault="0019445F">
      <w:pPr>
        <w:spacing w:after="0"/>
      </w:pPr>
      <w:r>
        <w:separator/>
      </w:r>
    </w:p>
  </w:endnote>
  <w:endnote w:type="continuationSeparator" w:id="0">
    <w:p w14:paraId="34A7E2D3" w14:textId="77777777" w:rsidR="0019445F" w:rsidRDefault="001944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0C1E" w14:textId="77777777" w:rsidR="00E36AEC" w:rsidRPr="00DF37F2" w:rsidRDefault="00D703C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Basil's Kensington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80AF0A" w14:textId="77777777" w:rsidR="00E36AEC" w:rsidRPr="00DF37F2" w:rsidRDefault="00D703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2285</w:t>
    </w:r>
    <w:bookmarkEnd w:id="1"/>
    <w:r w:rsidRPr="00DF37F2">
      <w:rPr>
        <w:rStyle w:val="FooterBold"/>
        <w:rFonts w:ascii="Arial" w:hAnsi="Arial"/>
        <w:b w:val="0"/>
      </w:rPr>
      <w:tab/>
      <w:t xml:space="preserve">OFFICIAL: Sensitive </w:t>
    </w:r>
  </w:p>
  <w:p w14:paraId="59C81229" w14:textId="77777777" w:rsidR="00E36AEC" w:rsidRPr="00DF37F2" w:rsidRDefault="00D703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973D" w14:textId="77777777" w:rsidR="00E36AEC" w:rsidRDefault="00E36AE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A0936" w14:textId="77777777" w:rsidR="0019445F" w:rsidRDefault="0019445F" w:rsidP="00D71F88">
      <w:pPr>
        <w:spacing w:after="0"/>
      </w:pPr>
      <w:r>
        <w:separator/>
      </w:r>
    </w:p>
  </w:footnote>
  <w:footnote w:type="continuationSeparator" w:id="0">
    <w:p w14:paraId="1E31E9A3" w14:textId="77777777" w:rsidR="0019445F" w:rsidRDefault="0019445F" w:rsidP="00D71F88">
      <w:pPr>
        <w:spacing w:after="0"/>
      </w:pPr>
      <w:r>
        <w:continuationSeparator/>
      </w:r>
    </w:p>
  </w:footnote>
  <w:footnote w:id="1">
    <w:p w14:paraId="69C34FE7" w14:textId="77777777" w:rsidR="00E36AEC" w:rsidRDefault="00D703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A5883">
        <w:rPr>
          <w:rFonts w:ascii="Arial" w:hAnsi="Arial" w:cs="Arial"/>
          <w:color w:val="auto"/>
          <w:sz w:val="20"/>
          <w:szCs w:val="20"/>
        </w:rPr>
        <w:t>section 68A</w:t>
      </w:r>
      <w:r w:rsidRPr="000A5883">
        <w:rPr>
          <w:rFonts w:ascii="Arial" w:hAnsi="Arial" w:cs="Arial"/>
          <w:b/>
          <w:color w:val="auto"/>
          <w:sz w:val="20"/>
          <w:szCs w:val="20"/>
        </w:rPr>
        <w:t xml:space="preserve"> </w:t>
      </w:r>
      <w:r w:rsidRPr="000A588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4DD36C0" w14:textId="77777777" w:rsidR="00E36AEC" w:rsidRDefault="00E36AE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F3CA" w14:textId="77777777" w:rsidR="00E36AEC" w:rsidRDefault="00D703C4">
    <w:pPr>
      <w:pStyle w:val="Header"/>
    </w:pPr>
    <w:r>
      <w:rPr>
        <w:noProof/>
        <w:color w:val="2B579A"/>
        <w:shd w:val="clear" w:color="auto" w:fill="E6E6E6"/>
        <w:lang w:val="en-US"/>
      </w:rPr>
      <w:drawing>
        <wp:anchor distT="0" distB="0" distL="114300" distR="114300" simplePos="0" relativeHeight="251658241" behindDoc="1" locked="0" layoutInCell="1" allowOverlap="1" wp14:anchorId="0607DDB4" wp14:editId="76D0F87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5B9F" w14:textId="77777777" w:rsidR="00E36AEC" w:rsidRDefault="00D703C4">
    <w:pPr>
      <w:pStyle w:val="Header"/>
    </w:pPr>
    <w:r>
      <w:rPr>
        <w:noProof/>
      </w:rPr>
      <w:drawing>
        <wp:anchor distT="0" distB="0" distL="114300" distR="114300" simplePos="0" relativeHeight="251658240" behindDoc="0" locked="0" layoutInCell="1" allowOverlap="1" wp14:anchorId="49D9B2CB" wp14:editId="3FACF8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B0E49A">
      <w:start w:val="1"/>
      <w:numFmt w:val="lowerRoman"/>
      <w:lvlText w:val="(%1)"/>
      <w:lvlJc w:val="left"/>
      <w:pPr>
        <w:ind w:left="1080" w:hanging="720"/>
      </w:pPr>
      <w:rPr>
        <w:rFonts w:hint="default"/>
      </w:rPr>
    </w:lvl>
    <w:lvl w:ilvl="1" w:tplc="67940132" w:tentative="1">
      <w:start w:val="1"/>
      <w:numFmt w:val="lowerLetter"/>
      <w:lvlText w:val="%2."/>
      <w:lvlJc w:val="left"/>
      <w:pPr>
        <w:ind w:left="1440" w:hanging="360"/>
      </w:pPr>
    </w:lvl>
    <w:lvl w:ilvl="2" w:tplc="2758A494" w:tentative="1">
      <w:start w:val="1"/>
      <w:numFmt w:val="lowerRoman"/>
      <w:lvlText w:val="%3."/>
      <w:lvlJc w:val="right"/>
      <w:pPr>
        <w:ind w:left="2160" w:hanging="180"/>
      </w:pPr>
    </w:lvl>
    <w:lvl w:ilvl="3" w:tplc="4F084CD8" w:tentative="1">
      <w:start w:val="1"/>
      <w:numFmt w:val="decimal"/>
      <w:lvlText w:val="%4."/>
      <w:lvlJc w:val="left"/>
      <w:pPr>
        <w:ind w:left="2880" w:hanging="360"/>
      </w:pPr>
    </w:lvl>
    <w:lvl w:ilvl="4" w:tplc="9222BFBC" w:tentative="1">
      <w:start w:val="1"/>
      <w:numFmt w:val="lowerLetter"/>
      <w:lvlText w:val="%5."/>
      <w:lvlJc w:val="left"/>
      <w:pPr>
        <w:ind w:left="3600" w:hanging="360"/>
      </w:pPr>
    </w:lvl>
    <w:lvl w:ilvl="5" w:tplc="29E47196" w:tentative="1">
      <w:start w:val="1"/>
      <w:numFmt w:val="lowerRoman"/>
      <w:lvlText w:val="%6."/>
      <w:lvlJc w:val="right"/>
      <w:pPr>
        <w:ind w:left="4320" w:hanging="180"/>
      </w:pPr>
    </w:lvl>
    <w:lvl w:ilvl="6" w:tplc="160C1E16" w:tentative="1">
      <w:start w:val="1"/>
      <w:numFmt w:val="decimal"/>
      <w:lvlText w:val="%7."/>
      <w:lvlJc w:val="left"/>
      <w:pPr>
        <w:ind w:left="5040" w:hanging="360"/>
      </w:pPr>
    </w:lvl>
    <w:lvl w:ilvl="7" w:tplc="B3125570" w:tentative="1">
      <w:start w:val="1"/>
      <w:numFmt w:val="lowerLetter"/>
      <w:lvlText w:val="%8."/>
      <w:lvlJc w:val="left"/>
      <w:pPr>
        <w:ind w:left="5760" w:hanging="360"/>
      </w:pPr>
    </w:lvl>
    <w:lvl w:ilvl="8" w:tplc="01FEB6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2E9DA0">
      <w:start w:val="1"/>
      <w:numFmt w:val="lowerRoman"/>
      <w:lvlText w:val="(%1)"/>
      <w:lvlJc w:val="left"/>
      <w:pPr>
        <w:ind w:left="1080" w:hanging="720"/>
      </w:pPr>
      <w:rPr>
        <w:rFonts w:hint="default"/>
      </w:rPr>
    </w:lvl>
    <w:lvl w:ilvl="1" w:tplc="98D0D486" w:tentative="1">
      <w:start w:val="1"/>
      <w:numFmt w:val="lowerLetter"/>
      <w:lvlText w:val="%2."/>
      <w:lvlJc w:val="left"/>
      <w:pPr>
        <w:ind w:left="1440" w:hanging="360"/>
      </w:pPr>
    </w:lvl>
    <w:lvl w:ilvl="2" w:tplc="AD9A6C64" w:tentative="1">
      <w:start w:val="1"/>
      <w:numFmt w:val="lowerRoman"/>
      <w:lvlText w:val="%3."/>
      <w:lvlJc w:val="right"/>
      <w:pPr>
        <w:ind w:left="2160" w:hanging="180"/>
      </w:pPr>
    </w:lvl>
    <w:lvl w:ilvl="3" w:tplc="AC641DAA" w:tentative="1">
      <w:start w:val="1"/>
      <w:numFmt w:val="decimal"/>
      <w:lvlText w:val="%4."/>
      <w:lvlJc w:val="left"/>
      <w:pPr>
        <w:ind w:left="2880" w:hanging="360"/>
      </w:pPr>
    </w:lvl>
    <w:lvl w:ilvl="4" w:tplc="4B661280" w:tentative="1">
      <w:start w:val="1"/>
      <w:numFmt w:val="lowerLetter"/>
      <w:lvlText w:val="%5."/>
      <w:lvlJc w:val="left"/>
      <w:pPr>
        <w:ind w:left="3600" w:hanging="360"/>
      </w:pPr>
    </w:lvl>
    <w:lvl w:ilvl="5" w:tplc="22A807A8" w:tentative="1">
      <w:start w:val="1"/>
      <w:numFmt w:val="lowerRoman"/>
      <w:lvlText w:val="%6."/>
      <w:lvlJc w:val="right"/>
      <w:pPr>
        <w:ind w:left="4320" w:hanging="180"/>
      </w:pPr>
    </w:lvl>
    <w:lvl w:ilvl="6" w:tplc="F8126024" w:tentative="1">
      <w:start w:val="1"/>
      <w:numFmt w:val="decimal"/>
      <w:lvlText w:val="%7."/>
      <w:lvlJc w:val="left"/>
      <w:pPr>
        <w:ind w:left="5040" w:hanging="360"/>
      </w:pPr>
    </w:lvl>
    <w:lvl w:ilvl="7" w:tplc="DAF2338E" w:tentative="1">
      <w:start w:val="1"/>
      <w:numFmt w:val="lowerLetter"/>
      <w:lvlText w:val="%8."/>
      <w:lvlJc w:val="left"/>
      <w:pPr>
        <w:ind w:left="5760" w:hanging="360"/>
      </w:pPr>
    </w:lvl>
    <w:lvl w:ilvl="8" w:tplc="1CB814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F1611BC">
      <w:start w:val="1"/>
      <w:numFmt w:val="lowerRoman"/>
      <w:lvlText w:val="(%1)"/>
      <w:lvlJc w:val="left"/>
      <w:pPr>
        <w:ind w:left="1080" w:hanging="720"/>
      </w:pPr>
      <w:rPr>
        <w:rFonts w:hint="default"/>
      </w:rPr>
    </w:lvl>
    <w:lvl w:ilvl="1" w:tplc="A79A62B2" w:tentative="1">
      <w:start w:val="1"/>
      <w:numFmt w:val="lowerLetter"/>
      <w:lvlText w:val="%2."/>
      <w:lvlJc w:val="left"/>
      <w:pPr>
        <w:ind w:left="1440" w:hanging="360"/>
      </w:pPr>
    </w:lvl>
    <w:lvl w:ilvl="2" w:tplc="A418D690" w:tentative="1">
      <w:start w:val="1"/>
      <w:numFmt w:val="lowerRoman"/>
      <w:lvlText w:val="%3."/>
      <w:lvlJc w:val="right"/>
      <w:pPr>
        <w:ind w:left="2160" w:hanging="180"/>
      </w:pPr>
    </w:lvl>
    <w:lvl w:ilvl="3" w:tplc="0310BB36" w:tentative="1">
      <w:start w:val="1"/>
      <w:numFmt w:val="decimal"/>
      <w:lvlText w:val="%4."/>
      <w:lvlJc w:val="left"/>
      <w:pPr>
        <w:ind w:left="2880" w:hanging="360"/>
      </w:pPr>
    </w:lvl>
    <w:lvl w:ilvl="4" w:tplc="8B6C4AC6" w:tentative="1">
      <w:start w:val="1"/>
      <w:numFmt w:val="lowerLetter"/>
      <w:lvlText w:val="%5."/>
      <w:lvlJc w:val="left"/>
      <w:pPr>
        <w:ind w:left="3600" w:hanging="360"/>
      </w:pPr>
    </w:lvl>
    <w:lvl w:ilvl="5" w:tplc="0184630A" w:tentative="1">
      <w:start w:val="1"/>
      <w:numFmt w:val="lowerRoman"/>
      <w:lvlText w:val="%6."/>
      <w:lvlJc w:val="right"/>
      <w:pPr>
        <w:ind w:left="4320" w:hanging="180"/>
      </w:pPr>
    </w:lvl>
    <w:lvl w:ilvl="6" w:tplc="01208E74" w:tentative="1">
      <w:start w:val="1"/>
      <w:numFmt w:val="decimal"/>
      <w:lvlText w:val="%7."/>
      <w:lvlJc w:val="left"/>
      <w:pPr>
        <w:ind w:left="5040" w:hanging="360"/>
      </w:pPr>
    </w:lvl>
    <w:lvl w:ilvl="7" w:tplc="9850BC64" w:tentative="1">
      <w:start w:val="1"/>
      <w:numFmt w:val="lowerLetter"/>
      <w:lvlText w:val="%8."/>
      <w:lvlJc w:val="left"/>
      <w:pPr>
        <w:ind w:left="5760" w:hanging="360"/>
      </w:pPr>
    </w:lvl>
    <w:lvl w:ilvl="8" w:tplc="BC26AAE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138E74C4">
      <w:start w:val="1"/>
      <w:numFmt w:val="bullet"/>
      <w:lvlText w:val=""/>
      <w:lvlJc w:val="left"/>
      <w:pPr>
        <w:ind w:left="1440" w:hanging="360"/>
      </w:pPr>
      <w:rPr>
        <w:rFonts w:ascii="Symbol" w:hAnsi="Symbol" w:hint="default"/>
        <w:color w:val="auto"/>
      </w:rPr>
    </w:lvl>
    <w:lvl w:ilvl="1" w:tplc="E670E306">
      <w:start w:val="1"/>
      <w:numFmt w:val="bullet"/>
      <w:lvlText w:val="o"/>
      <w:lvlJc w:val="left"/>
      <w:pPr>
        <w:ind w:left="2160" w:hanging="360"/>
      </w:pPr>
      <w:rPr>
        <w:rFonts w:ascii="Courier New" w:hAnsi="Courier New" w:cs="Courier New" w:hint="default"/>
      </w:rPr>
    </w:lvl>
    <w:lvl w:ilvl="2" w:tplc="FAB0BE5E">
      <w:start w:val="1"/>
      <w:numFmt w:val="bullet"/>
      <w:lvlText w:val=""/>
      <w:lvlJc w:val="left"/>
      <w:pPr>
        <w:ind w:left="2880" w:hanging="360"/>
      </w:pPr>
      <w:rPr>
        <w:rFonts w:ascii="Wingdings" w:hAnsi="Wingdings" w:hint="default"/>
      </w:rPr>
    </w:lvl>
    <w:lvl w:ilvl="3" w:tplc="9712024C">
      <w:start w:val="1"/>
      <w:numFmt w:val="bullet"/>
      <w:lvlText w:val=""/>
      <w:lvlJc w:val="left"/>
      <w:pPr>
        <w:ind w:left="3600" w:hanging="360"/>
      </w:pPr>
      <w:rPr>
        <w:rFonts w:ascii="Symbol" w:hAnsi="Symbol" w:hint="default"/>
      </w:rPr>
    </w:lvl>
    <w:lvl w:ilvl="4" w:tplc="73363EAA">
      <w:start w:val="1"/>
      <w:numFmt w:val="bullet"/>
      <w:lvlText w:val="o"/>
      <w:lvlJc w:val="left"/>
      <w:pPr>
        <w:ind w:left="4320" w:hanging="360"/>
      </w:pPr>
      <w:rPr>
        <w:rFonts w:ascii="Courier New" w:hAnsi="Courier New" w:cs="Courier New" w:hint="default"/>
      </w:rPr>
    </w:lvl>
    <w:lvl w:ilvl="5" w:tplc="6C08C726">
      <w:start w:val="1"/>
      <w:numFmt w:val="bullet"/>
      <w:lvlText w:val=""/>
      <w:lvlJc w:val="left"/>
      <w:pPr>
        <w:ind w:left="5040" w:hanging="360"/>
      </w:pPr>
      <w:rPr>
        <w:rFonts w:ascii="Wingdings" w:hAnsi="Wingdings" w:hint="default"/>
      </w:rPr>
    </w:lvl>
    <w:lvl w:ilvl="6" w:tplc="B2E2153A">
      <w:start w:val="1"/>
      <w:numFmt w:val="bullet"/>
      <w:lvlText w:val=""/>
      <w:lvlJc w:val="left"/>
      <w:pPr>
        <w:ind w:left="5760" w:hanging="360"/>
      </w:pPr>
      <w:rPr>
        <w:rFonts w:ascii="Symbol" w:hAnsi="Symbol" w:hint="default"/>
      </w:rPr>
    </w:lvl>
    <w:lvl w:ilvl="7" w:tplc="C1C65B7C">
      <w:start w:val="1"/>
      <w:numFmt w:val="bullet"/>
      <w:lvlText w:val="o"/>
      <w:lvlJc w:val="left"/>
      <w:pPr>
        <w:ind w:left="6480" w:hanging="360"/>
      </w:pPr>
      <w:rPr>
        <w:rFonts w:ascii="Courier New" w:hAnsi="Courier New" w:cs="Courier New" w:hint="default"/>
      </w:rPr>
    </w:lvl>
    <w:lvl w:ilvl="8" w:tplc="31F4CA22">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77DA59AC">
      <w:start w:val="1"/>
      <w:numFmt w:val="bullet"/>
      <w:lvlText w:val=""/>
      <w:lvlJc w:val="left"/>
      <w:pPr>
        <w:ind w:left="720" w:hanging="360"/>
      </w:pPr>
      <w:rPr>
        <w:rFonts w:ascii="Symbol" w:hAnsi="Symbol" w:hint="default"/>
        <w:color w:val="auto"/>
        <w:sz w:val="24"/>
        <w:szCs w:val="24"/>
      </w:rPr>
    </w:lvl>
    <w:lvl w:ilvl="1" w:tplc="70E45CD4" w:tentative="1">
      <w:start w:val="1"/>
      <w:numFmt w:val="bullet"/>
      <w:lvlText w:val="o"/>
      <w:lvlJc w:val="left"/>
      <w:pPr>
        <w:ind w:left="1440" w:hanging="360"/>
      </w:pPr>
      <w:rPr>
        <w:rFonts w:ascii="Courier New" w:hAnsi="Courier New" w:cs="Courier New" w:hint="default"/>
      </w:rPr>
    </w:lvl>
    <w:lvl w:ilvl="2" w:tplc="B150D852" w:tentative="1">
      <w:start w:val="1"/>
      <w:numFmt w:val="bullet"/>
      <w:lvlText w:val=""/>
      <w:lvlJc w:val="left"/>
      <w:pPr>
        <w:ind w:left="2160" w:hanging="360"/>
      </w:pPr>
      <w:rPr>
        <w:rFonts w:ascii="Wingdings" w:hAnsi="Wingdings" w:hint="default"/>
      </w:rPr>
    </w:lvl>
    <w:lvl w:ilvl="3" w:tplc="7C6464DE" w:tentative="1">
      <w:start w:val="1"/>
      <w:numFmt w:val="bullet"/>
      <w:lvlText w:val=""/>
      <w:lvlJc w:val="left"/>
      <w:pPr>
        <w:ind w:left="2880" w:hanging="360"/>
      </w:pPr>
      <w:rPr>
        <w:rFonts w:ascii="Symbol" w:hAnsi="Symbol" w:hint="default"/>
      </w:rPr>
    </w:lvl>
    <w:lvl w:ilvl="4" w:tplc="F4947092" w:tentative="1">
      <w:start w:val="1"/>
      <w:numFmt w:val="bullet"/>
      <w:lvlText w:val="o"/>
      <w:lvlJc w:val="left"/>
      <w:pPr>
        <w:ind w:left="3600" w:hanging="360"/>
      </w:pPr>
      <w:rPr>
        <w:rFonts w:ascii="Courier New" w:hAnsi="Courier New" w:cs="Courier New" w:hint="default"/>
      </w:rPr>
    </w:lvl>
    <w:lvl w:ilvl="5" w:tplc="1C8A1BF6" w:tentative="1">
      <w:start w:val="1"/>
      <w:numFmt w:val="bullet"/>
      <w:lvlText w:val=""/>
      <w:lvlJc w:val="left"/>
      <w:pPr>
        <w:ind w:left="4320" w:hanging="360"/>
      </w:pPr>
      <w:rPr>
        <w:rFonts w:ascii="Wingdings" w:hAnsi="Wingdings" w:hint="default"/>
      </w:rPr>
    </w:lvl>
    <w:lvl w:ilvl="6" w:tplc="F5324300" w:tentative="1">
      <w:start w:val="1"/>
      <w:numFmt w:val="bullet"/>
      <w:lvlText w:val=""/>
      <w:lvlJc w:val="left"/>
      <w:pPr>
        <w:ind w:left="5040" w:hanging="360"/>
      </w:pPr>
      <w:rPr>
        <w:rFonts w:ascii="Symbol" w:hAnsi="Symbol" w:hint="default"/>
      </w:rPr>
    </w:lvl>
    <w:lvl w:ilvl="7" w:tplc="C3D8DEA2" w:tentative="1">
      <w:start w:val="1"/>
      <w:numFmt w:val="bullet"/>
      <w:lvlText w:val="o"/>
      <w:lvlJc w:val="left"/>
      <w:pPr>
        <w:ind w:left="5760" w:hanging="360"/>
      </w:pPr>
      <w:rPr>
        <w:rFonts w:ascii="Courier New" w:hAnsi="Courier New" w:cs="Courier New" w:hint="default"/>
      </w:rPr>
    </w:lvl>
    <w:lvl w:ilvl="8" w:tplc="6DC4825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976CF0E">
      <w:start w:val="1"/>
      <w:numFmt w:val="lowerRoman"/>
      <w:lvlText w:val="(%1)"/>
      <w:lvlJc w:val="left"/>
      <w:pPr>
        <w:ind w:left="1080" w:hanging="720"/>
      </w:pPr>
      <w:rPr>
        <w:rFonts w:hint="default"/>
      </w:rPr>
    </w:lvl>
    <w:lvl w:ilvl="1" w:tplc="E46830E2" w:tentative="1">
      <w:start w:val="1"/>
      <w:numFmt w:val="lowerLetter"/>
      <w:lvlText w:val="%2."/>
      <w:lvlJc w:val="left"/>
      <w:pPr>
        <w:ind w:left="1440" w:hanging="360"/>
      </w:pPr>
    </w:lvl>
    <w:lvl w:ilvl="2" w:tplc="C850268C" w:tentative="1">
      <w:start w:val="1"/>
      <w:numFmt w:val="lowerRoman"/>
      <w:lvlText w:val="%3."/>
      <w:lvlJc w:val="right"/>
      <w:pPr>
        <w:ind w:left="2160" w:hanging="180"/>
      </w:pPr>
    </w:lvl>
    <w:lvl w:ilvl="3" w:tplc="0D886614" w:tentative="1">
      <w:start w:val="1"/>
      <w:numFmt w:val="decimal"/>
      <w:lvlText w:val="%4."/>
      <w:lvlJc w:val="left"/>
      <w:pPr>
        <w:ind w:left="2880" w:hanging="360"/>
      </w:pPr>
    </w:lvl>
    <w:lvl w:ilvl="4" w:tplc="AE7A2F92" w:tentative="1">
      <w:start w:val="1"/>
      <w:numFmt w:val="lowerLetter"/>
      <w:lvlText w:val="%5."/>
      <w:lvlJc w:val="left"/>
      <w:pPr>
        <w:ind w:left="3600" w:hanging="360"/>
      </w:pPr>
    </w:lvl>
    <w:lvl w:ilvl="5" w:tplc="4C6AE2D6" w:tentative="1">
      <w:start w:val="1"/>
      <w:numFmt w:val="lowerRoman"/>
      <w:lvlText w:val="%6."/>
      <w:lvlJc w:val="right"/>
      <w:pPr>
        <w:ind w:left="4320" w:hanging="180"/>
      </w:pPr>
    </w:lvl>
    <w:lvl w:ilvl="6" w:tplc="CBD2B1A0" w:tentative="1">
      <w:start w:val="1"/>
      <w:numFmt w:val="decimal"/>
      <w:lvlText w:val="%7."/>
      <w:lvlJc w:val="left"/>
      <w:pPr>
        <w:ind w:left="5040" w:hanging="360"/>
      </w:pPr>
    </w:lvl>
    <w:lvl w:ilvl="7" w:tplc="EC96CD9A" w:tentative="1">
      <w:start w:val="1"/>
      <w:numFmt w:val="lowerLetter"/>
      <w:lvlText w:val="%8."/>
      <w:lvlJc w:val="left"/>
      <w:pPr>
        <w:ind w:left="5760" w:hanging="360"/>
      </w:pPr>
    </w:lvl>
    <w:lvl w:ilvl="8" w:tplc="46DE1F8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3A620B80">
      <w:start w:val="1"/>
      <w:numFmt w:val="lowerRoman"/>
      <w:lvlText w:val="(%1)"/>
      <w:lvlJc w:val="left"/>
      <w:pPr>
        <w:ind w:left="1080" w:hanging="720"/>
      </w:pPr>
      <w:rPr>
        <w:rFonts w:hint="default"/>
      </w:rPr>
    </w:lvl>
    <w:lvl w:ilvl="1" w:tplc="7D780C86" w:tentative="1">
      <w:start w:val="1"/>
      <w:numFmt w:val="lowerLetter"/>
      <w:lvlText w:val="%2."/>
      <w:lvlJc w:val="left"/>
      <w:pPr>
        <w:ind w:left="1440" w:hanging="360"/>
      </w:pPr>
    </w:lvl>
    <w:lvl w:ilvl="2" w:tplc="CF9288EE" w:tentative="1">
      <w:start w:val="1"/>
      <w:numFmt w:val="lowerRoman"/>
      <w:lvlText w:val="%3."/>
      <w:lvlJc w:val="right"/>
      <w:pPr>
        <w:ind w:left="2160" w:hanging="180"/>
      </w:pPr>
    </w:lvl>
    <w:lvl w:ilvl="3" w:tplc="844E2C7C" w:tentative="1">
      <w:start w:val="1"/>
      <w:numFmt w:val="decimal"/>
      <w:lvlText w:val="%4."/>
      <w:lvlJc w:val="left"/>
      <w:pPr>
        <w:ind w:left="2880" w:hanging="360"/>
      </w:pPr>
    </w:lvl>
    <w:lvl w:ilvl="4" w:tplc="06E6E73A" w:tentative="1">
      <w:start w:val="1"/>
      <w:numFmt w:val="lowerLetter"/>
      <w:lvlText w:val="%5."/>
      <w:lvlJc w:val="left"/>
      <w:pPr>
        <w:ind w:left="3600" w:hanging="360"/>
      </w:pPr>
    </w:lvl>
    <w:lvl w:ilvl="5" w:tplc="56F2E25A" w:tentative="1">
      <w:start w:val="1"/>
      <w:numFmt w:val="lowerRoman"/>
      <w:lvlText w:val="%6."/>
      <w:lvlJc w:val="right"/>
      <w:pPr>
        <w:ind w:left="4320" w:hanging="180"/>
      </w:pPr>
    </w:lvl>
    <w:lvl w:ilvl="6" w:tplc="491ABF12" w:tentative="1">
      <w:start w:val="1"/>
      <w:numFmt w:val="decimal"/>
      <w:lvlText w:val="%7."/>
      <w:lvlJc w:val="left"/>
      <w:pPr>
        <w:ind w:left="5040" w:hanging="360"/>
      </w:pPr>
    </w:lvl>
    <w:lvl w:ilvl="7" w:tplc="9790ED9C" w:tentative="1">
      <w:start w:val="1"/>
      <w:numFmt w:val="lowerLetter"/>
      <w:lvlText w:val="%8."/>
      <w:lvlJc w:val="left"/>
      <w:pPr>
        <w:ind w:left="5760" w:hanging="360"/>
      </w:pPr>
    </w:lvl>
    <w:lvl w:ilvl="8" w:tplc="40DCA1E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C5C4030">
      <w:start w:val="1"/>
      <w:numFmt w:val="lowerRoman"/>
      <w:lvlText w:val="(%1)"/>
      <w:lvlJc w:val="left"/>
      <w:pPr>
        <w:ind w:left="1080" w:hanging="720"/>
      </w:pPr>
      <w:rPr>
        <w:rFonts w:hint="default"/>
      </w:rPr>
    </w:lvl>
    <w:lvl w:ilvl="1" w:tplc="DD661BEA" w:tentative="1">
      <w:start w:val="1"/>
      <w:numFmt w:val="lowerLetter"/>
      <w:lvlText w:val="%2."/>
      <w:lvlJc w:val="left"/>
      <w:pPr>
        <w:ind w:left="1440" w:hanging="360"/>
      </w:pPr>
    </w:lvl>
    <w:lvl w:ilvl="2" w:tplc="39EED1E0" w:tentative="1">
      <w:start w:val="1"/>
      <w:numFmt w:val="lowerRoman"/>
      <w:lvlText w:val="%3."/>
      <w:lvlJc w:val="right"/>
      <w:pPr>
        <w:ind w:left="2160" w:hanging="180"/>
      </w:pPr>
    </w:lvl>
    <w:lvl w:ilvl="3" w:tplc="0660D736" w:tentative="1">
      <w:start w:val="1"/>
      <w:numFmt w:val="decimal"/>
      <w:lvlText w:val="%4."/>
      <w:lvlJc w:val="left"/>
      <w:pPr>
        <w:ind w:left="2880" w:hanging="360"/>
      </w:pPr>
    </w:lvl>
    <w:lvl w:ilvl="4" w:tplc="ACE4436C" w:tentative="1">
      <w:start w:val="1"/>
      <w:numFmt w:val="lowerLetter"/>
      <w:lvlText w:val="%5."/>
      <w:lvlJc w:val="left"/>
      <w:pPr>
        <w:ind w:left="3600" w:hanging="360"/>
      </w:pPr>
    </w:lvl>
    <w:lvl w:ilvl="5" w:tplc="D81AD904" w:tentative="1">
      <w:start w:val="1"/>
      <w:numFmt w:val="lowerRoman"/>
      <w:lvlText w:val="%6."/>
      <w:lvlJc w:val="right"/>
      <w:pPr>
        <w:ind w:left="4320" w:hanging="180"/>
      </w:pPr>
    </w:lvl>
    <w:lvl w:ilvl="6" w:tplc="29DC64A6" w:tentative="1">
      <w:start w:val="1"/>
      <w:numFmt w:val="decimal"/>
      <w:lvlText w:val="%7."/>
      <w:lvlJc w:val="left"/>
      <w:pPr>
        <w:ind w:left="5040" w:hanging="360"/>
      </w:pPr>
    </w:lvl>
    <w:lvl w:ilvl="7" w:tplc="99E0C3BA" w:tentative="1">
      <w:start w:val="1"/>
      <w:numFmt w:val="lowerLetter"/>
      <w:lvlText w:val="%8."/>
      <w:lvlJc w:val="left"/>
      <w:pPr>
        <w:ind w:left="5760" w:hanging="360"/>
      </w:pPr>
    </w:lvl>
    <w:lvl w:ilvl="8" w:tplc="27900B3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68085C4">
      <w:start w:val="1"/>
      <w:numFmt w:val="lowerRoman"/>
      <w:lvlText w:val="(%1)"/>
      <w:lvlJc w:val="left"/>
      <w:pPr>
        <w:ind w:left="1080" w:hanging="720"/>
      </w:pPr>
      <w:rPr>
        <w:rFonts w:hint="default"/>
      </w:rPr>
    </w:lvl>
    <w:lvl w:ilvl="1" w:tplc="1F488C16" w:tentative="1">
      <w:start w:val="1"/>
      <w:numFmt w:val="lowerLetter"/>
      <w:lvlText w:val="%2."/>
      <w:lvlJc w:val="left"/>
      <w:pPr>
        <w:ind w:left="1440" w:hanging="360"/>
      </w:pPr>
    </w:lvl>
    <w:lvl w:ilvl="2" w:tplc="A456FE38" w:tentative="1">
      <w:start w:val="1"/>
      <w:numFmt w:val="lowerRoman"/>
      <w:lvlText w:val="%3."/>
      <w:lvlJc w:val="right"/>
      <w:pPr>
        <w:ind w:left="2160" w:hanging="180"/>
      </w:pPr>
    </w:lvl>
    <w:lvl w:ilvl="3" w:tplc="66483C2E" w:tentative="1">
      <w:start w:val="1"/>
      <w:numFmt w:val="decimal"/>
      <w:lvlText w:val="%4."/>
      <w:lvlJc w:val="left"/>
      <w:pPr>
        <w:ind w:left="2880" w:hanging="360"/>
      </w:pPr>
    </w:lvl>
    <w:lvl w:ilvl="4" w:tplc="1AF23BC4" w:tentative="1">
      <w:start w:val="1"/>
      <w:numFmt w:val="lowerLetter"/>
      <w:lvlText w:val="%5."/>
      <w:lvlJc w:val="left"/>
      <w:pPr>
        <w:ind w:left="3600" w:hanging="360"/>
      </w:pPr>
    </w:lvl>
    <w:lvl w:ilvl="5" w:tplc="4796BFCC" w:tentative="1">
      <w:start w:val="1"/>
      <w:numFmt w:val="lowerRoman"/>
      <w:lvlText w:val="%6."/>
      <w:lvlJc w:val="right"/>
      <w:pPr>
        <w:ind w:left="4320" w:hanging="180"/>
      </w:pPr>
    </w:lvl>
    <w:lvl w:ilvl="6" w:tplc="85E06F7C" w:tentative="1">
      <w:start w:val="1"/>
      <w:numFmt w:val="decimal"/>
      <w:lvlText w:val="%7."/>
      <w:lvlJc w:val="left"/>
      <w:pPr>
        <w:ind w:left="5040" w:hanging="360"/>
      </w:pPr>
    </w:lvl>
    <w:lvl w:ilvl="7" w:tplc="4C8E3912" w:tentative="1">
      <w:start w:val="1"/>
      <w:numFmt w:val="lowerLetter"/>
      <w:lvlText w:val="%8."/>
      <w:lvlJc w:val="left"/>
      <w:pPr>
        <w:ind w:left="5760" w:hanging="360"/>
      </w:pPr>
    </w:lvl>
    <w:lvl w:ilvl="8" w:tplc="B9FEFA16" w:tentative="1">
      <w:start w:val="1"/>
      <w:numFmt w:val="lowerRoman"/>
      <w:lvlText w:val="%9."/>
      <w:lvlJc w:val="right"/>
      <w:pPr>
        <w:ind w:left="6480" w:hanging="180"/>
      </w:pPr>
    </w:lvl>
  </w:abstractNum>
  <w:abstractNum w:abstractNumId="10" w15:restartNumberingAfterBreak="0">
    <w:nsid w:val="440C3C67"/>
    <w:multiLevelType w:val="hybridMultilevel"/>
    <w:tmpl w:val="80A82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0F0EC6D0">
      <w:start w:val="1"/>
      <w:numFmt w:val="lowerRoman"/>
      <w:lvlText w:val="(%1)"/>
      <w:lvlJc w:val="left"/>
      <w:pPr>
        <w:ind w:left="1080" w:hanging="720"/>
      </w:pPr>
      <w:rPr>
        <w:rFonts w:hint="default"/>
      </w:rPr>
    </w:lvl>
    <w:lvl w:ilvl="1" w:tplc="99CA80A8" w:tentative="1">
      <w:start w:val="1"/>
      <w:numFmt w:val="lowerLetter"/>
      <w:lvlText w:val="%2."/>
      <w:lvlJc w:val="left"/>
      <w:pPr>
        <w:ind w:left="1440" w:hanging="360"/>
      </w:pPr>
    </w:lvl>
    <w:lvl w:ilvl="2" w:tplc="4B929CEC" w:tentative="1">
      <w:start w:val="1"/>
      <w:numFmt w:val="lowerRoman"/>
      <w:lvlText w:val="%3."/>
      <w:lvlJc w:val="right"/>
      <w:pPr>
        <w:ind w:left="2160" w:hanging="180"/>
      </w:pPr>
    </w:lvl>
    <w:lvl w:ilvl="3" w:tplc="8FA09A28" w:tentative="1">
      <w:start w:val="1"/>
      <w:numFmt w:val="decimal"/>
      <w:lvlText w:val="%4."/>
      <w:lvlJc w:val="left"/>
      <w:pPr>
        <w:ind w:left="2880" w:hanging="360"/>
      </w:pPr>
    </w:lvl>
    <w:lvl w:ilvl="4" w:tplc="8466A714" w:tentative="1">
      <w:start w:val="1"/>
      <w:numFmt w:val="lowerLetter"/>
      <w:lvlText w:val="%5."/>
      <w:lvlJc w:val="left"/>
      <w:pPr>
        <w:ind w:left="3600" w:hanging="360"/>
      </w:pPr>
    </w:lvl>
    <w:lvl w:ilvl="5" w:tplc="14148B5E" w:tentative="1">
      <w:start w:val="1"/>
      <w:numFmt w:val="lowerRoman"/>
      <w:lvlText w:val="%6."/>
      <w:lvlJc w:val="right"/>
      <w:pPr>
        <w:ind w:left="4320" w:hanging="180"/>
      </w:pPr>
    </w:lvl>
    <w:lvl w:ilvl="6" w:tplc="28D6E7F4" w:tentative="1">
      <w:start w:val="1"/>
      <w:numFmt w:val="decimal"/>
      <w:lvlText w:val="%7."/>
      <w:lvlJc w:val="left"/>
      <w:pPr>
        <w:ind w:left="5040" w:hanging="360"/>
      </w:pPr>
    </w:lvl>
    <w:lvl w:ilvl="7" w:tplc="24A085F6" w:tentative="1">
      <w:start w:val="1"/>
      <w:numFmt w:val="lowerLetter"/>
      <w:lvlText w:val="%8."/>
      <w:lvlJc w:val="left"/>
      <w:pPr>
        <w:ind w:left="5760" w:hanging="360"/>
      </w:pPr>
    </w:lvl>
    <w:lvl w:ilvl="8" w:tplc="C4347CB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DB6BFBE">
      <w:start w:val="1"/>
      <w:numFmt w:val="lowerRoman"/>
      <w:lvlText w:val="(%1)"/>
      <w:lvlJc w:val="left"/>
      <w:pPr>
        <w:ind w:left="1080" w:hanging="720"/>
      </w:pPr>
      <w:rPr>
        <w:rFonts w:hint="default"/>
      </w:rPr>
    </w:lvl>
    <w:lvl w:ilvl="1" w:tplc="64E4136A" w:tentative="1">
      <w:start w:val="1"/>
      <w:numFmt w:val="lowerLetter"/>
      <w:lvlText w:val="%2."/>
      <w:lvlJc w:val="left"/>
      <w:pPr>
        <w:ind w:left="1440" w:hanging="360"/>
      </w:pPr>
    </w:lvl>
    <w:lvl w:ilvl="2" w:tplc="32DA4694" w:tentative="1">
      <w:start w:val="1"/>
      <w:numFmt w:val="lowerRoman"/>
      <w:lvlText w:val="%3."/>
      <w:lvlJc w:val="right"/>
      <w:pPr>
        <w:ind w:left="2160" w:hanging="180"/>
      </w:pPr>
    </w:lvl>
    <w:lvl w:ilvl="3" w:tplc="FFF64DDC" w:tentative="1">
      <w:start w:val="1"/>
      <w:numFmt w:val="decimal"/>
      <w:lvlText w:val="%4."/>
      <w:lvlJc w:val="left"/>
      <w:pPr>
        <w:ind w:left="2880" w:hanging="360"/>
      </w:pPr>
    </w:lvl>
    <w:lvl w:ilvl="4" w:tplc="5D7A980A" w:tentative="1">
      <w:start w:val="1"/>
      <w:numFmt w:val="lowerLetter"/>
      <w:lvlText w:val="%5."/>
      <w:lvlJc w:val="left"/>
      <w:pPr>
        <w:ind w:left="3600" w:hanging="360"/>
      </w:pPr>
    </w:lvl>
    <w:lvl w:ilvl="5" w:tplc="430A21B2" w:tentative="1">
      <w:start w:val="1"/>
      <w:numFmt w:val="lowerRoman"/>
      <w:lvlText w:val="%6."/>
      <w:lvlJc w:val="right"/>
      <w:pPr>
        <w:ind w:left="4320" w:hanging="180"/>
      </w:pPr>
    </w:lvl>
    <w:lvl w:ilvl="6" w:tplc="F2D2F57E" w:tentative="1">
      <w:start w:val="1"/>
      <w:numFmt w:val="decimal"/>
      <w:lvlText w:val="%7."/>
      <w:lvlJc w:val="left"/>
      <w:pPr>
        <w:ind w:left="5040" w:hanging="360"/>
      </w:pPr>
    </w:lvl>
    <w:lvl w:ilvl="7" w:tplc="A42CCEEA" w:tentative="1">
      <w:start w:val="1"/>
      <w:numFmt w:val="lowerLetter"/>
      <w:lvlText w:val="%8."/>
      <w:lvlJc w:val="left"/>
      <w:pPr>
        <w:ind w:left="5760" w:hanging="360"/>
      </w:pPr>
    </w:lvl>
    <w:lvl w:ilvl="8" w:tplc="76C0FEC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422099">
    <w:abstractNumId w:val="13"/>
  </w:num>
  <w:num w:numId="2" w16cid:durableId="780564631">
    <w:abstractNumId w:val="5"/>
  </w:num>
  <w:num w:numId="3" w16cid:durableId="910041635">
    <w:abstractNumId w:val="2"/>
  </w:num>
  <w:num w:numId="4" w16cid:durableId="2025671818">
    <w:abstractNumId w:val="8"/>
  </w:num>
  <w:num w:numId="5" w16cid:durableId="373500506">
    <w:abstractNumId w:val="7"/>
  </w:num>
  <w:num w:numId="6" w16cid:durableId="930045005">
    <w:abstractNumId w:val="1"/>
  </w:num>
  <w:num w:numId="7" w16cid:durableId="784273819">
    <w:abstractNumId w:val="11"/>
  </w:num>
  <w:num w:numId="8" w16cid:durableId="2006392498">
    <w:abstractNumId w:val="6"/>
  </w:num>
  <w:num w:numId="9" w16cid:durableId="2089688663">
    <w:abstractNumId w:val="9"/>
  </w:num>
  <w:num w:numId="10" w16cid:durableId="1665741588">
    <w:abstractNumId w:val="3"/>
  </w:num>
  <w:num w:numId="11" w16cid:durableId="181214176">
    <w:abstractNumId w:val="12"/>
  </w:num>
  <w:num w:numId="12" w16cid:durableId="835922890">
    <w:abstractNumId w:val="0"/>
  </w:num>
  <w:num w:numId="13" w16cid:durableId="1851602630">
    <w:abstractNumId w:val="13"/>
  </w:num>
  <w:num w:numId="14" w16cid:durableId="256522962">
    <w:abstractNumId w:val="13"/>
  </w:num>
  <w:num w:numId="15" w16cid:durableId="1028793870">
    <w:abstractNumId w:val="4"/>
  </w:num>
  <w:num w:numId="16" w16cid:durableId="18032263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58D"/>
    <w:rsid w:val="00007101"/>
    <w:rsid w:val="00011288"/>
    <w:rsid w:val="000A5883"/>
    <w:rsid w:val="00141205"/>
    <w:rsid w:val="0019445F"/>
    <w:rsid w:val="002109F0"/>
    <w:rsid w:val="00274EA1"/>
    <w:rsid w:val="00284A6B"/>
    <w:rsid w:val="00326DD3"/>
    <w:rsid w:val="003846B0"/>
    <w:rsid w:val="003E7F0E"/>
    <w:rsid w:val="00462E3E"/>
    <w:rsid w:val="0046758D"/>
    <w:rsid w:val="004C7986"/>
    <w:rsid w:val="004F53DD"/>
    <w:rsid w:val="005206AC"/>
    <w:rsid w:val="005A2205"/>
    <w:rsid w:val="006B664A"/>
    <w:rsid w:val="007D7CD4"/>
    <w:rsid w:val="00894CAB"/>
    <w:rsid w:val="008D57A0"/>
    <w:rsid w:val="008F4CE5"/>
    <w:rsid w:val="00A7126A"/>
    <w:rsid w:val="00B71C40"/>
    <w:rsid w:val="00BD76AF"/>
    <w:rsid w:val="00C14715"/>
    <w:rsid w:val="00D703C4"/>
    <w:rsid w:val="00E36AEC"/>
    <w:rsid w:val="00EB209A"/>
    <w:rsid w:val="00ED2223"/>
    <w:rsid w:val="00F47677"/>
    <w:rsid w:val="00F65F1A"/>
    <w:rsid w:val="00FD2C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EC1D6"/>
  <w15:docId w15:val="{DED699D2-6C5F-4500-9958-E8E7F4B55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A220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71157">
      <w:bodyDiv w:val="1"/>
      <w:marLeft w:val="0"/>
      <w:marRight w:val="0"/>
      <w:marTop w:val="0"/>
      <w:marBottom w:val="0"/>
      <w:divBdr>
        <w:top w:val="none" w:sz="0" w:space="0" w:color="auto"/>
        <w:left w:val="none" w:sz="0" w:space="0" w:color="auto"/>
        <w:bottom w:val="none" w:sz="0" w:space="0" w:color="auto"/>
        <w:right w:val="none" w:sz="0" w:space="0" w:color="auto"/>
      </w:divBdr>
    </w:div>
    <w:div w:id="556354129">
      <w:bodyDiv w:val="1"/>
      <w:marLeft w:val="0"/>
      <w:marRight w:val="0"/>
      <w:marTop w:val="0"/>
      <w:marBottom w:val="0"/>
      <w:divBdr>
        <w:top w:val="none" w:sz="0" w:space="0" w:color="auto"/>
        <w:left w:val="none" w:sz="0" w:space="0" w:color="auto"/>
        <w:bottom w:val="none" w:sz="0" w:space="0" w:color="auto"/>
        <w:right w:val="none" w:sz="0" w:space="0" w:color="auto"/>
      </w:divBdr>
    </w:div>
    <w:div w:id="1091390693">
      <w:bodyDiv w:val="1"/>
      <w:marLeft w:val="0"/>
      <w:marRight w:val="0"/>
      <w:marTop w:val="0"/>
      <w:marBottom w:val="0"/>
      <w:divBdr>
        <w:top w:val="none" w:sz="0" w:space="0" w:color="auto"/>
        <w:left w:val="none" w:sz="0" w:space="0" w:color="auto"/>
        <w:bottom w:val="none" w:sz="0" w:space="0" w:color="auto"/>
        <w:right w:val="none" w:sz="0" w:space="0" w:color="auto"/>
      </w:divBdr>
    </w:div>
    <w:div w:id="1103111129">
      <w:bodyDiv w:val="1"/>
      <w:marLeft w:val="0"/>
      <w:marRight w:val="0"/>
      <w:marTop w:val="0"/>
      <w:marBottom w:val="0"/>
      <w:divBdr>
        <w:top w:val="none" w:sz="0" w:space="0" w:color="auto"/>
        <w:left w:val="none" w:sz="0" w:space="0" w:color="auto"/>
        <w:bottom w:val="none" w:sz="0" w:space="0" w:color="auto"/>
        <w:right w:val="none" w:sz="0" w:space="0" w:color="auto"/>
      </w:divBdr>
    </w:div>
    <w:div w:id="1151798495">
      <w:bodyDiv w:val="1"/>
      <w:marLeft w:val="0"/>
      <w:marRight w:val="0"/>
      <w:marTop w:val="0"/>
      <w:marBottom w:val="0"/>
      <w:divBdr>
        <w:top w:val="none" w:sz="0" w:space="0" w:color="auto"/>
        <w:left w:val="none" w:sz="0" w:space="0" w:color="auto"/>
        <w:bottom w:val="none" w:sz="0" w:space="0" w:color="auto"/>
        <w:right w:val="none" w:sz="0" w:space="0" w:color="auto"/>
      </w:divBdr>
    </w:div>
    <w:div w:id="1396469279">
      <w:bodyDiv w:val="1"/>
      <w:marLeft w:val="0"/>
      <w:marRight w:val="0"/>
      <w:marTop w:val="0"/>
      <w:marBottom w:val="0"/>
      <w:divBdr>
        <w:top w:val="none" w:sz="0" w:space="0" w:color="auto"/>
        <w:left w:val="none" w:sz="0" w:space="0" w:color="auto"/>
        <w:bottom w:val="none" w:sz="0" w:space="0" w:color="auto"/>
        <w:right w:val="none" w:sz="0" w:space="0" w:color="auto"/>
      </w:divBdr>
    </w:div>
    <w:div w:id="1793472775">
      <w:bodyDiv w:val="1"/>
      <w:marLeft w:val="0"/>
      <w:marRight w:val="0"/>
      <w:marTop w:val="0"/>
      <w:marBottom w:val="0"/>
      <w:divBdr>
        <w:top w:val="none" w:sz="0" w:space="0" w:color="auto"/>
        <w:left w:val="none" w:sz="0" w:space="0" w:color="auto"/>
        <w:bottom w:val="none" w:sz="0" w:space="0" w:color="auto"/>
        <w:right w:val="none" w:sz="0" w:space="0" w:color="auto"/>
      </w:divBdr>
    </w:div>
    <w:div w:id="1924681012">
      <w:bodyDiv w:val="1"/>
      <w:marLeft w:val="0"/>
      <w:marRight w:val="0"/>
      <w:marTop w:val="0"/>
      <w:marBottom w:val="0"/>
      <w:divBdr>
        <w:top w:val="none" w:sz="0" w:space="0" w:color="auto"/>
        <w:left w:val="none" w:sz="0" w:space="0" w:color="auto"/>
        <w:bottom w:val="none" w:sz="0" w:space="0" w:color="auto"/>
        <w:right w:val="none" w:sz="0" w:space="0" w:color="auto"/>
      </w:divBdr>
    </w:div>
    <w:div w:id="2023511222">
      <w:bodyDiv w:val="1"/>
      <w:marLeft w:val="0"/>
      <w:marRight w:val="0"/>
      <w:marTop w:val="0"/>
      <w:marBottom w:val="0"/>
      <w:divBdr>
        <w:top w:val="none" w:sz="0" w:space="0" w:color="auto"/>
        <w:left w:val="none" w:sz="0" w:space="0" w:color="auto"/>
        <w:bottom w:val="none" w:sz="0" w:space="0" w:color="auto"/>
        <w:right w:val="none" w:sz="0" w:space="0" w:color="auto"/>
      </w:divBdr>
    </w:div>
    <w:div w:id="203149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C14B3" w:rsidRDefault="00AB311E">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14F07" w:rsidRDefault="00AB311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14F07" w:rsidRDefault="00AB311E" w:rsidP="00AF0AC5">
          <w:pPr>
            <w:pStyle w:val="B49FA1BBEF644AB6B201ADBCD49F201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14F07" w:rsidRDefault="00AB311E" w:rsidP="00AF0AC5">
          <w:pPr>
            <w:pStyle w:val="0796204703484FAD9B1778A33922F943"/>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14F07" w:rsidRDefault="00AB311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14F07" w:rsidRDefault="00AB311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14F07"/>
    <w:rsid w:val="00014F07"/>
    <w:rsid w:val="005C14B3"/>
    <w:rsid w:val="00A913CE"/>
    <w:rsid w:val="00AB311E"/>
    <w:rsid w:val="00C919F0"/>
    <w:rsid w:val="00DE5B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796204703484FAD9B1778A33922F943">
    <w:name w:val="0796204703484FAD9B1778A33922F943"/>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2129</Words>
  <Characters>12140</Characters>
  <Application>Microsoft Office Word</Application>
  <DocSecurity>12</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2024-03-03T23:48:00Z</dcterms:created>
  <dcterms:modified xsi:type="dcterms:W3CDTF">2024-03-03T23:48:00Z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