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1195E" w14:textId="77777777" w:rsidR="000A1CBC" w:rsidRPr="002C3EBF" w:rsidRDefault="00CE426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7ED0B0" wp14:editId="3D18A12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B06D5A2" w14:textId="77777777" w:rsidR="000A1CBC" w:rsidRDefault="00CE426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3E8151" w14:textId="77777777" w:rsidR="000A1CBC" w:rsidRDefault="00CE426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F3E342" w14:textId="77777777" w:rsidR="000A1CBC" w:rsidRPr="002C3EBF" w:rsidRDefault="00CE426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A77FE" w14:paraId="17473757" w14:textId="77777777" w:rsidTr="00CA77FE">
        <w:tc>
          <w:tcPr>
            <w:cnfStyle w:val="001000000000" w:firstRow="0" w:lastRow="0" w:firstColumn="1" w:lastColumn="0" w:oddVBand="0" w:evenVBand="0" w:oddHBand="0" w:evenHBand="0" w:firstRowFirstColumn="0" w:firstRowLastColumn="0" w:lastRowFirstColumn="0" w:lastRowLastColumn="0"/>
            <w:tcW w:w="3227" w:type="dxa"/>
          </w:tcPr>
          <w:p w14:paraId="7F6224DA" w14:textId="77777777" w:rsidR="000A1CBC" w:rsidRPr="00996FAF" w:rsidRDefault="00CE426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2CC324" w14:textId="77777777" w:rsidR="000A1CBC" w:rsidRPr="00996FAF" w:rsidRDefault="00CE42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Village by Scalabrini</w:t>
            </w:r>
          </w:p>
        </w:tc>
      </w:tr>
      <w:tr w:rsidR="00CA77FE" w14:paraId="159B6584" w14:textId="77777777" w:rsidTr="00CA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22B071" w14:textId="77777777" w:rsidR="000A1CBC" w:rsidRPr="00996FAF" w:rsidRDefault="00CE426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D79C7E" w14:textId="77777777" w:rsidR="000A1CBC" w:rsidRPr="00C27BE3" w:rsidRDefault="00CE42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1064</w:t>
            </w:r>
          </w:p>
        </w:tc>
      </w:tr>
      <w:tr w:rsidR="00CA77FE" w14:paraId="113723FE" w14:textId="77777777" w:rsidTr="00CA7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924755" w14:textId="77777777" w:rsidR="000A1CBC" w:rsidRPr="00996FAF" w:rsidRDefault="00CE426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C73B34" w14:textId="77777777" w:rsidR="000A1CBC" w:rsidRPr="00996FAF" w:rsidRDefault="00CE42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MARY</w:t>
            </w:r>
            <w:r>
              <w:rPr>
                <w:rFonts w:ascii="Arial" w:eastAsia="Times New Roman" w:hAnsi="Arial" w:cs="Arial"/>
                <w:lang w:eastAsia="en-AU"/>
              </w:rPr>
              <w:t xml:space="preserve"> ST, DRUMMOYNE, New South Wales, 2047</w:t>
            </w:r>
          </w:p>
        </w:tc>
      </w:tr>
      <w:tr w:rsidR="00CA77FE" w14:paraId="067BB242" w14:textId="77777777" w:rsidTr="00CA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6C828C" w14:textId="77777777" w:rsidR="000A1CBC" w:rsidRPr="00996FAF" w:rsidRDefault="00CE426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D8DBF8" w14:textId="77777777" w:rsidR="000A1CBC" w:rsidRPr="00996FAF" w:rsidRDefault="00CE42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A77FE" w14:paraId="32F9C707" w14:textId="77777777" w:rsidTr="00CA7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23670" w14:textId="77777777" w:rsidR="000A1CBC" w:rsidRPr="00996FAF" w:rsidRDefault="00CE426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9F43D4" w14:textId="77777777" w:rsidR="000A1CBC" w:rsidRPr="00996FAF" w:rsidRDefault="00CE42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19 </w:t>
            </w:r>
            <w:r w:rsidRPr="00A52058">
              <w:rPr>
                <w:rFonts w:ascii="Arial" w:hAnsi="Arial" w:cs="Arial"/>
              </w:rPr>
              <w:t>December 2023</w:t>
            </w:r>
          </w:p>
        </w:tc>
      </w:tr>
      <w:tr w:rsidR="00CA77FE" w14:paraId="7AC5CA71" w14:textId="77777777" w:rsidTr="00CA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551510" w14:textId="77777777" w:rsidR="000A1CBC" w:rsidRPr="00996FAF" w:rsidRDefault="00CE426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88515339"/>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6215D629" w14:textId="3ADB9469" w:rsidR="000A1CBC" w:rsidRPr="00996FAF" w:rsidRDefault="00F86A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CA77FE" w14:paraId="2B73669A" w14:textId="77777777" w:rsidTr="00CA7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F4524E" w14:textId="77777777" w:rsidR="000A1CBC" w:rsidRPr="00996FAF" w:rsidRDefault="00CE426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063A8E" w14:textId="77777777" w:rsidR="000A1CBC" w:rsidRPr="009B6303" w:rsidRDefault="00CE42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268 Scalabrini Village Ltd </w:t>
            </w:r>
          </w:p>
          <w:p w14:paraId="7201003F" w14:textId="77777777" w:rsidR="000A1CBC" w:rsidRPr="009B6303" w:rsidRDefault="00CE42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26579 The Village by Scalabrini</w:t>
            </w:r>
          </w:p>
        </w:tc>
      </w:tr>
    </w:tbl>
    <w:bookmarkEnd w:id="0"/>
    <w:p w14:paraId="0533E336" w14:textId="77777777" w:rsidR="000A1CBC" w:rsidRPr="00996FAF" w:rsidRDefault="00CE426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A04A1D" w14:textId="77777777" w:rsidR="000A1CBC" w:rsidRPr="00996FAF" w:rsidRDefault="00CE426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A47F68D" w14:textId="77777777" w:rsidR="000A1CBC" w:rsidRPr="00996FAF" w:rsidRDefault="00CE4262" w:rsidP="0036130C">
      <w:pPr>
        <w:pStyle w:val="NormalArial"/>
      </w:pPr>
      <w:r w:rsidRPr="00996FAF">
        <w:t xml:space="preserve">This performance report for </w:t>
      </w:r>
      <w:r w:rsidRPr="00C27BE3">
        <w:rPr>
          <w:color w:val="auto"/>
        </w:rPr>
        <w:t>The Village by Scalabrini</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5CA6C05" w14:textId="77777777" w:rsidR="000A1CBC" w:rsidRPr="00996FAF" w:rsidRDefault="00CE4262"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019ECBC5" w14:textId="77777777" w:rsidR="000A1CBC" w:rsidRPr="00996FAF" w:rsidRDefault="00CE4262" w:rsidP="0036130C">
      <w:pPr>
        <w:pStyle w:val="NormalArial"/>
      </w:pPr>
      <w:r w:rsidRPr="00996FAF">
        <w:t>The report also specifies any areas in which improvements must be made to ensure the Qualit</w:t>
      </w:r>
      <w:r w:rsidRPr="00996FAF">
        <w:t>y Standards are complied with.</w:t>
      </w:r>
    </w:p>
    <w:p w14:paraId="43FBF0C6" w14:textId="77777777" w:rsidR="000A1CBC" w:rsidRPr="00996FAF" w:rsidRDefault="00CE4262" w:rsidP="00712752">
      <w:pPr>
        <w:pStyle w:val="Heading1"/>
        <w:spacing w:before="240" w:after="240" w:line="22" w:lineRule="atLeast"/>
        <w:rPr>
          <w:rFonts w:ascii="Arial" w:hAnsi="Arial" w:cs="Arial"/>
        </w:rPr>
      </w:pPr>
      <w:r w:rsidRPr="00996FAF">
        <w:rPr>
          <w:rFonts w:ascii="Arial" w:hAnsi="Arial" w:cs="Arial"/>
        </w:rPr>
        <w:t>Material relied on</w:t>
      </w:r>
    </w:p>
    <w:p w14:paraId="3350BC37" w14:textId="77777777" w:rsidR="000A1CBC" w:rsidRPr="00996FAF" w:rsidRDefault="00CE4262" w:rsidP="0036130C">
      <w:pPr>
        <w:pStyle w:val="NormalArial"/>
      </w:pPr>
      <w:r w:rsidRPr="00996FAF">
        <w:t>The following information has been considered in preparing the performance report:</w:t>
      </w:r>
    </w:p>
    <w:p w14:paraId="3B515895" w14:textId="77777777" w:rsidR="000A1CBC" w:rsidRPr="004019E4" w:rsidRDefault="00CE426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4019E4">
        <w:rPr>
          <w:rFonts w:ascii="Arial" w:hAnsi="Arial" w:cs="Arial"/>
          <w:color w:val="auto"/>
        </w:rPr>
        <w:t xml:space="preserve">by a site </w:t>
      </w:r>
      <w:r w:rsidRPr="004019E4">
        <w:rPr>
          <w:rFonts w:ascii="Arial" w:hAnsi="Arial" w:cs="Arial"/>
          <w:color w:val="auto"/>
        </w:rPr>
        <w:t>assessment, observations at the service, review of documents and interviews with staff, consumers/representatives and others</w:t>
      </w:r>
      <w:r w:rsidR="004019E4" w:rsidRPr="004019E4">
        <w:rPr>
          <w:rFonts w:ascii="Arial" w:hAnsi="Arial" w:cs="Arial"/>
          <w:color w:val="auto"/>
        </w:rPr>
        <w:t>.</w:t>
      </w:r>
    </w:p>
    <w:p w14:paraId="3AC0145C" w14:textId="14E4205E" w:rsidR="000A1CBC" w:rsidRPr="00996FAF" w:rsidRDefault="00CE426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0C11A9">
        <w:rPr>
          <w:rFonts w:ascii="Arial" w:hAnsi="Arial" w:cs="Arial"/>
        </w:rPr>
        <w:t xml:space="preserve">12 January 2024. </w:t>
      </w:r>
      <w:r w:rsidRPr="00A36AA9">
        <w:rPr>
          <w:rFonts w:ascii="Arial" w:hAnsi="Arial" w:cs="Arial"/>
        </w:rPr>
        <w:t xml:space="preserve"> </w:t>
      </w:r>
      <w:r w:rsidRPr="00996FAF">
        <w:rPr>
          <w:rFonts w:ascii="Arial" w:hAnsi="Arial" w:cs="Arial"/>
        </w:rPr>
        <w:t xml:space="preserve"> </w:t>
      </w:r>
    </w:p>
    <w:p w14:paraId="75D9EB27" w14:textId="77777777" w:rsidR="000A1CBC" w:rsidRPr="00712752" w:rsidRDefault="00CE4262" w:rsidP="004019E4">
      <w:pPr>
        <w:pStyle w:val="ListParagraph"/>
        <w:spacing w:line="22" w:lineRule="atLeast"/>
        <w:ind w:left="714"/>
        <w:contextualSpacing w:val="0"/>
        <w:rPr>
          <w:rFonts w:ascii="Arial" w:hAnsi="Arial" w:cs="Arial"/>
        </w:rPr>
      </w:pPr>
      <w:r w:rsidRPr="00712752">
        <w:rPr>
          <w:rFonts w:ascii="Arial" w:hAnsi="Arial" w:cs="Arial"/>
        </w:rPr>
        <w:br w:type="page"/>
      </w:r>
    </w:p>
    <w:p w14:paraId="441F4049" w14:textId="77777777" w:rsidR="000A1CBC" w:rsidRPr="00996FAF" w:rsidRDefault="00CE426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A77FE" w14:paraId="0A5EA485" w14:textId="77777777" w:rsidTr="00CA7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F219F1" w14:textId="77777777" w:rsidR="000A1CBC" w:rsidRPr="00996FAF" w:rsidRDefault="00CE426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w:t>
            </w:r>
            <w:r w:rsidRPr="00996FAF">
              <w:rPr>
                <w:rFonts w:ascii="Arial" w:hAnsi="Arial" w:cs="Arial"/>
                <w:b w:val="0"/>
              </w:rPr>
              <w:t>e and clinical care</w:t>
            </w:r>
          </w:p>
        </w:tc>
        <w:tc>
          <w:tcPr>
            <w:tcW w:w="1175" w:type="pct"/>
            <w:shd w:val="clear" w:color="auto" w:fill="auto"/>
          </w:tcPr>
          <w:p w14:paraId="4BDA2232" w14:textId="2B8614E0" w:rsidR="000A1CBC" w:rsidRPr="002C5FA9" w:rsidRDefault="00CE426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02744768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7603A">
                  <w:rPr>
                    <w:rFonts w:ascii="Arial" w:hAnsi="Arial" w:cs="Arial"/>
                    <w:bCs/>
                  </w:rPr>
                  <w:t>Not Compliant</w:t>
                </w:r>
              </w:sdtContent>
            </w:sdt>
          </w:p>
        </w:tc>
      </w:tr>
    </w:tbl>
    <w:p w14:paraId="6BDA3950" w14:textId="77777777" w:rsidR="000A1CBC" w:rsidRPr="00996FAF" w:rsidRDefault="00CE426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D59857" w14:textId="77777777" w:rsidR="000A1CBC" w:rsidRPr="00996FAF" w:rsidRDefault="00CE4262" w:rsidP="00712752">
      <w:pPr>
        <w:pStyle w:val="Heading1"/>
        <w:spacing w:before="0" w:after="240" w:line="22" w:lineRule="atLeast"/>
        <w:rPr>
          <w:rFonts w:ascii="Arial" w:hAnsi="Arial" w:cs="Arial"/>
        </w:rPr>
      </w:pPr>
      <w:r w:rsidRPr="00996FAF">
        <w:rPr>
          <w:rFonts w:ascii="Arial" w:hAnsi="Arial" w:cs="Arial"/>
        </w:rPr>
        <w:t>Areas for improvement</w:t>
      </w:r>
    </w:p>
    <w:p w14:paraId="5EED6EBE" w14:textId="77777777" w:rsidR="000A1CBC" w:rsidRDefault="00CE4262" w:rsidP="0036130C">
      <w:pPr>
        <w:pStyle w:val="NormalArial"/>
      </w:pPr>
      <w:r w:rsidRPr="00996FAF">
        <w:t xml:space="preserve">Areas have been identified in which </w:t>
      </w:r>
      <w:r w:rsidRPr="00996FAF">
        <w:rPr>
          <w:b/>
        </w:rPr>
        <w:t xml:space="preserve">improvements must be made to ensure compliance with the Quality </w:t>
      </w:r>
      <w:r w:rsidRPr="00996FAF">
        <w:rPr>
          <w:b/>
        </w:rPr>
        <w:t>Standards</w:t>
      </w:r>
      <w:r w:rsidRPr="00996FAF">
        <w:t>. This is based on non-compliance with the Quality Standards as described in this performance report.</w:t>
      </w:r>
    </w:p>
    <w:p w14:paraId="55BE57B2" w14:textId="77777777" w:rsidR="005633EF" w:rsidRPr="00996FAF" w:rsidRDefault="005633EF" w:rsidP="005633EF">
      <w:pPr>
        <w:pStyle w:val="NormalArial"/>
      </w:pPr>
      <w:r w:rsidRPr="00996FAF">
        <w:rPr>
          <w:color w:val="auto"/>
        </w:rPr>
        <w:t>Requirement 3(3)(</w:t>
      </w:r>
      <w:r>
        <w:rPr>
          <w:color w:val="auto"/>
        </w:rPr>
        <w:t>d</w:t>
      </w:r>
      <w:r w:rsidRPr="00996FAF">
        <w:rPr>
          <w:color w:val="auto"/>
        </w:rPr>
        <w:t>)</w:t>
      </w:r>
    </w:p>
    <w:p w14:paraId="56C140AC" w14:textId="77777777" w:rsidR="00E50F41" w:rsidRDefault="005633EF" w:rsidP="005633E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E50F41">
        <w:rPr>
          <w:rFonts w:ascii="Arial" w:hAnsi="Arial" w:cs="Arial"/>
          <w:color w:val="auto"/>
        </w:rPr>
        <w:t>the d</w:t>
      </w:r>
      <w:r w:rsidR="00E50F41" w:rsidRPr="00996FAF">
        <w:rPr>
          <w:rFonts w:ascii="Arial" w:hAnsi="Arial" w:cs="Arial"/>
        </w:rPr>
        <w:t>eterioration or change of a consumer’s mental health, cognitive or physical function, capacity or condition is recognised and responded to in a timely manner</w:t>
      </w:r>
      <w:r>
        <w:rPr>
          <w:rFonts w:ascii="Arial" w:hAnsi="Arial" w:cs="Arial"/>
          <w:color w:val="auto"/>
        </w:rPr>
        <w:t>.</w:t>
      </w:r>
    </w:p>
    <w:p w14:paraId="02373E5B" w14:textId="16504D1B" w:rsidR="005633EF" w:rsidRPr="008D234C" w:rsidRDefault="00E50F41" w:rsidP="005633EF">
      <w:pPr>
        <w:pStyle w:val="ListBullet"/>
        <w:spacing w:before="0" w:after="120" w:line="22" w:lineRule="atLeast"/>
        <w:ind w:left="425" w:hanging="425"/>
        <w:rPr>
          <w:rFonts w:ascii="Arial" w:hAnsi="Arial" w:cs="Arial"/>
          <w:color w:val="auto"/>
        </w:rPr>
      </w:pPr>
      <w:r>
        <w:rPr>
          <w:rFonts w:ascii="Arial" w:hAnsi="Arial" w:cs="Arial"/>
          <w:color w:val="auto"/>
        </w:rPr>
        <w:t xml:space="preserve">Ensure staff are consistently adhering to organisational policies and procedures, specifically related to skin integrity. </w:t>
      </w:r>
      <w:r w:rsidR="005633EF" w:rsidRPr="008D234C">
        <w:rPr>
          <w:rFonts w:ascii="Arial" w:hAnsi="Arial" w:cs="Arial"/>
          <w:color w:val="auto"/>
        </w:rPr>
        <w:t xml:space="preserve"> </w:t>
      </w:r>
    </w:p>
    <w:p w14:paraId="1C5FD1BF" w14:textId="77777777" w:rsidR="005633EF" w:rsidRPr="00996FAF" w:rsidRDefault="005633EF" w:rsidP="005633EF">
      <w:pPr>
        <w:pStyle w:val="NormalArial"/>
      </w:pPr>
      <w:r w:rsidRPr="00996FAF">
        <w:rPr>
          <w:color w:val="auto"/>
        </w:rPr>
        <w:t>Requirement 3(3)(</w:t>
      </w:r>
      <w:r>
        <w:rPr>
          <w:color w:val="auto"/>
        </w:rPr>
        <w:t>e</w:t>
      </w:r>
      <w:r w:rsidRPr="00996FAF">
        <w:rPr>
          <w:color w:val="auto"/>
        </w:rPr>
        <w:t>)</w:t>
      </w:r>
    </w:p>
    <w:p w14:paraId="22FE5812" w14:textId="597111F6" w:rsidR="005633EF" w:rsidRDefault="00C0499B" w:rsidP="005633EF">
      <w:pPr>
        <w:pStyle w:val="ListBullet"/>
        <w:spacing w:before="0" w:after="120" w:line="22" w:lineRule="atLeast"/>
        <w:ind w:left="425" w:hanging="425"/>
        <w:rPr>
          <w:rFonts w:ascii="Arial" w:hAnsi="Arial" w:cs="Arial"/>
          <w:color w:val="auto"/>
        </w:rPr>
      </w:pPr>
      <w:r>
        <w:rPr>
          <w:rFonts w:ascii="Arial" w:hAnsi="Arial" w:cs="Arial"/>
        </w:rPr>
        <w:t>Ensure information about consumer care needs</w:t>
      </w:r>
      <w:r w:rsidR="00EC19AD" w:rsidRPr="00996FAF">
        <w:rPr>
          <w:rFonts w:ascii="Arial" w:hAnsi="Arial" w:cs="Arial"/>
        </w:rPr>
        <w:t xml:space="preserve"> is documented and communicated within the organisation, and with others where responsibility for care is shared</w:t>
      </w:r>
      <w:r w:rsidR="005633EF">
        <w:rPr>
          <w:rFonts w:ascii="Arial" w:hAnsi="Arial" w:cs="Arial"/>
          <w:color w:val="auto"/>
        </w:rPr>
        <w:t xml:space="preserve">. </w:t>
      </w:r>
      <w:r w:rsidR="005633EF" w:rsidRPr="00E95525">
        <w:rPr>
          <w:rFonts w:ascii="Arial" w:hAnsi="Arial" w:cs="Arial"/>
          <w:color w:val="auto"/>
        </w:rPr>
        <w:t xml:space="preserve"> </w:t>
      </w:r>
    </w:p>
    <w:p w14:paraId="7880F13A" w14:textId="0B33112E" w:rsidR="008C3CE0" w:rsidRPr="008C3CE0" w:rsidRDefault="008C3CE0" w:rsidP="005633EF">
      <w:pPr>
        <w:pStyle w:val="ListBullet"/>
        <w:spacing w:before="0" w:after="120" w:line="22" w:lineRule="atLeast"/>
        <w:ind w:left="425" w:hanging="425"/>
        <w:rPr>
          <w:rFonts w:ascii="Arial" w:hAnsi="Arial" w:cs="Arial"/>
        </w:rPr>
      </w:pPr>
      <w:r w:rsidRPr="008C3CE0">
        <w:rPr>
          <w:rFonts w:ascii="Arial" w:hAnsi="Arial" w:cs="Arial"/>
        </w:rPr>
        <w:t>Ensure assessments and care planning processes consistently capture adequate and accurate information about the consumer’s condition and needs</w:t>
      </w:r>
      <w:r>
        <w:rPr>
          <w:rFonts w:ascii="Arial" w:hAnsi="Arial" w:cs="Arial"/>
        </w:rPr>
        <w:t>, specifically related to skin integrity and wound care</w:t>
      </w:r>
      <w:r w:rsidRPr="008C3CE0">
        <w:rPr>
          <w:rFonts w:ascii="Arial" w:hAnsi="Arial" w:cs="Arial"/>
        </w:rPr>
        <w:t>.</w:t>
      </w:r>
    </w:p>
    <w:p w14:paraId="36DA6C30" w14:textId="5B92085C" w:rsidR="008C3CE0" w:rsidRPr="008C3CE0" w:rsidRDefault="008C3CE0" w:rsidP="005633EF">
      <w:pPr>
        <w:pStyle w:val="ListBullet"/>
        <w:spacing w:before="0" w:after="120" w:line="22" w:lineRule="atLeast"/>
        <w:ind w:left="425" w:hanging="425"/>
        <w:rPr>
          <w:rFonts w:ascii="Arial" w:hAnsi="Arial" w:cs="Arial"/>
        </w:rPr>
      </w:pPr>
      <w:r w:rsidRPr="008C3CE0">
        <w:rPr>
          <w:rFonts w:ascii="Arial" w:hAnsi="Arial" w:cs="Arial"/>
        </w:rPr>
        <w:t xml:space="preserve">Ensure interventions to address consumer needs are consistently documented in care documentation, to ensure providers of care are adequately informed resulting in positive outcomes for consumers. </w:t>
      </w:r>
    </w:p>
    <w:p w14:paraId="0DEA50D9" w14:textId="77777777" w:rsidR="000A1CBC" w:rsidRPr="00996FAF" w:rsidRDefault="00CE4262" w:rsidP="0036130C">
      <w:pPr>
        <w:pStyle w:val="NormalArial"/>
      </w:pPr>
      <w:r w:rsidRPr="00996FAF">
        <w:br w:type="page"/>
      </w:r>
    </w:p>
    <w:p w14:paraId="712C478E" w14:textId="77777777" w:rsidR="000A1CBC" w:rsidRPr="00996FAF" w:rsidRDefault="00CE426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A77FE" w14:paraId="50AA3B1D" w14:textId="77777777" w:rsidTr="00401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AC211AA" w14:textId="77777777" w:rsidR="000A1CBC" w:rsidRPr="00996FAF" w:rsidRDefault="00CE426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2C82FF" w14:textId="77777777" w:rsidR="000A1CBC" w:rsidRPr="00996FAF" w:rsidRDefault="000A1C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A77FE" w14:paraId="2CC5BBA8" w14:textId="77777777" w:rsidTr="00CA7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AB681" w14:textId="77777777" w:rsidR="000A1CBC" w:rsidRPr="00996FAF" w:rsidRDefault="00CE426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9284D15" w14:textId="77777777" w:rsidR="000A1CBC" w:rsidRPr="00996FAF" w:rsidRDefault="00CE42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A21C66A" w14:textId="77777777" w:rsidR="000A1CBC" w:rsidRPr="00996FAF" w:rsidRDefault="00CE42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47104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35CD7">
                  <w:rPr>
                    <w:rFonts w:ascii="Arial" w:hAnsi="Arial" w:cs="Arial"/>
                    <w:color w:val="auto"/>
                  </w:rPr>
                  <w:t>Not Compliant</w:t>
                </w:r>
              </w:sdtContent>
            </w:sdt>
          </w:p>
        </w:tc>
      </w:tr>
      <w:tr w:rsidR="00CA77FE" w14:paraId="0000869A" w14:textId="77777777" w:rsidTr="00CA7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CEC21" w14:textId="77777777" w:rsidR="000A1CBC" w:rsidRPr="00996FAF" w:rsidRDefault="00CE426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2BB8E7F" w14:textId="77777777" w:rsidR="000A1CBC" w:rsidRPr="00996FAF" w:rsidRDefault="00CE42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056762E" w14:textId="77777777" w:rsidR="000A1CBC" w:rsidRPr="00996FAF" w:rsidRDefault="00CE42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78254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35CD7">
                  <w:rPr>
                    <w:rFonts w:ascii="Arial" w:hAnsi="Arial" w:cs="Arial"/>
                    <w:color w:val="auto"/>
                  </w:rPr>
                  <w:t>Not Compliant</w:t>
                </w:r>
              </w:sdtContent>
            </w:sdt>
          </w:p>
        </w:tc>
      </w:tr>
    </w:tbl>
    <w:p w14:paraId="2F3864CA" w14:textId="77777777" w:rsidR="000A1CBC" w:rsidRDefault="00CE4262" w:rsidP="00D87E7C">
      <w:pPr>
        <w:pStyle w:val="Heading20"/>
      </w:pPr>
      <w:r w:rsidRPr="00996FAF">
        <w:t>Findings</w:t>
      </w:r>
    </w:p>
    <w:p w14:paraId="217F5E9F" w14:textId="77777777" w:rsidR="000A1CBC" w:rsidRDefault="003850D0" w:rsidP="0036130C">
      <w:pPr>
        <w:pStyle w:val="NormalArial"/>
        <w:rPr>
          <w:rFonts w:eastAsia="Times New Roman"/>
          <w:lang w:eastAsia="en-AU"/>
        </w:rPr>
      </w:pPr>
      <w:r>
        <w:rPr>
          <w:rFonts w:eastAsia="Times New Roman"/>
          <w:lang w:eastAsia="en-AU"/>
        </w:rPr>
        <w:t>Consumers and/or representatives generally provided positive feedback about the care and services provided by the service. However, review of clinical documentation and interviews demonstrates that deterioration or change in the consumer’s condition is not recognised and responded to in a timely manner. Monitoring of skin condition does not identify initial deterioration in skin condition resulting in pressure injuries being identified at a late stage. Assessments, care planning and incident management processes are not identifying and responding to changes in the consumer’s condition.</w:t>
      </w:r>
    </w:p>
    <w:p w14:paraId="2E5DB4BB" w14:textId="77777777" w:rsidR="003850D0" w:rsidRDefault="003850D0" w:rsidP="0036130C">
      <w:pPr>
        <w:pStyle w:val="NormalArial"/>
        <w:rPr>
          <w:rFonts w:eastAsia="Times New Roman"/>
          <w:lang w:eastAsia="en-AU"/>
        </w:rPr>
      </w:pPr>
      <w:r>
        <w:rPr>
          <w:rFonts w:eastAsia="Times New Roman"/>
          <w:lang w:eastAsia="en-AU"/>
        </w:rPr>
        <w:t>The service is not taking effective action to prevent the development of pressure injuries at an early stage. Accurate assessment and interventions to prevent further deterioration of pressure injuries or aid in the healing of pressure injuries does not always occur.</w:t>
      </w:r>
      <w:r w:rsidRPr="003850D0">
        <w:rPr>
          <w:rFonts w:eastAsia="Times New Roman"/>
          <w:lang w:eastAsia="en-AU"/>
        </w:rPr>
        <w:t xml:space="preserve"> </w:t>
      </w:r>
      <w:r>
        <w:rPr>
          <w:rFonts w:eastAsia="Times New Roman"/>
          <w:lang w:eastAsia="en-AU"/>
        </w:rPr>
        <w:t xml:space="preserve">The service’s policy on skin integrity and wound management states consumers should have sufficient oral fluid intake, however this is not consistently occurring. </w:t>
      </w:r>
    </w:p>
    <w:p w14:paraId="5BEB41E6" w14:textId="77777777" w:rsidR="003850D0" w:rsidRDefault="003850D0" w:rsidP="0036130C">
      <w:pPr>
        <w:pStyle w:val="NormalArial"/>
        <w:rPr>
          <w:rFonts w:eastAsia="Times New Roman"/>
          <w:lang w:eastAsia="en-AU"/>
        </w:rPr>
      </w:pPr>
      <w:r>
        <w:rPr>
          <w:rFonts w:eastAsia="Times New Roman"/>
          <w:lang w:eastAsia="en-AU"/>
        </w:rPr>
        <w:t>Staff reported a wound assessment is undertaken when a wound is first identified, and a reassessment using the organisation’s wound assessment form should be undertaken every time there is a change in the treatment regime. This has not consistently occurred as per documentation review, with frequent changes in the treatment regimens documented in the wound charts without any explanations of the reason for the change.</w:t>
      </w:r>
    </w:p>
    <w:p w14:paraId="6B4BF7D5" w14:textId="77777777" w:rsidR="005633EF" w:rsidRDefault="005633EF" w:rsidP="005633EF">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5C6F9A11" w14:textId="77777777" w:rsidR="005633EF" w:rsidRDefault="005633EF" w:rsidP="005633EF">
      <w:pPr>
        <w:pStyle w:val="NormalArial"/>
        <w:rPr>
          <w:color w:val="auto"/>
        </w:rPr>
      </w:pPr>
      <w:r w:rsidRPr="00776F08">
        <w:rPr>
          <w:color w:val="auto"/>
        </w:rPr>
        <w:t xml:space="preserve">Based on the information provided by the Assessment Team and the Approved Provider, Requirement </w:t>
      </w:r>
      <w:r w:rsidR="00983BA5">
        <w:rPr>
          <w:color w:val="auto"/>
        </w:rPr>
        <w:t>3</w:t>
      </w:r>
      <w:r w:rsidRPr="00776F08">
        <w:rPr>
          <w:color w:val="auto"/>
        </w:rPr>
        <w:t>(3)(</w:t>
      </w:r>
      <w:r w:rsidR="00983BA5">
        <w:rPr>
          <w:color w:val="auto"/>
        </w:rPr>
        <w:t>d</w:t>
      </w:r>
      <w:r w:rsidRPr="00776F08">
        <w:rPr>
          <w:color w:val="auto"/>
        </w:rPr>
        <w:t>) is found Non-compliant.</w:t>
      </w:r>
    </w:p>
    <w:p w14:paraId="40766966" w14:textId="216F0D86" w:rsidR="00B2744E" w:rsidRDefault="0014631C" w:rsidP="0036130C">
      <w:pPr>
        <w:pStyle w:val="NormalArial"/>
      </w:pPr>
      <w:r>
        <w:rPr>
          <w:rFonts w:eastAsia="Times New Roman"/>
          <w:color w:val="000000"/>
          <w:lang w:eastAsia="en-AU"/>
        </w:rPr>
        <w:t xml:space="preserve">Assessments and care planning processes do not </w:t>
      </w:r>
      <w:r w:rsidR="00DF45A6">
        <w:rPr>
          <w:rFonts w:eastAsia="Times New Roman"/>
          <w:color w:val="000000"/>
          <w:lang w:eastAsia="en-AU"/>
        </w:rPr>
        <w:t xml:space="preserve">consistently </w:t>
      </w:r>
      <w:r>
        <w:rPr>
          <w:rFonts w:eastAsia="Times New Roman"/>
          <w:color w:val="000000"/>
          <w:lang w:eastAsia="en-AU"/>
        </w:rPr>
        <w:t xml:space="preserve">capture information about the consumer’s condition and needs. Interventions to address needs are not </w:t>
      </w:r>
      <w:r w:rsidR="00DF45A6">
        <w:rPr>
          <w:rFonts w:eastAsia="Times New Roman"/>
          <w:color w:val="000000"/>
          <w:lang w:eastAsia="en-AU"/>
        </w:rPr>
        <w:t xml:space="preserve">consistently </w:t>
      </w:r>
      <w:r>
        <w:rPr>
          <w:rFonts w:eastAsia="Times New Roman"/>
          <w:color w:val="000000"/>
          <w:lang w:eastAsia="en-AU"/>
        </w:rPr>
        <w:t>documented</w:t>
      </w:r>
      <w:r w:rsidR="00DF45A6">
        <w:rPr>
          <w:rFonts w:eastAsia="Times New Roman"/>
          <w:color w:val="000000"/>
          <w:lang w:eastAsia="en-AU"/>
        </w:rPr>
        <w:t xml:space="preserve"> in care documentation</w:t>
      </w:r>
      <w:r w:rsidR="00FB3D26">
        <w:rPr>
          <w:rFonts w:eastAsia="Times New Roman"/>
          <w:color w:val="000000"/>
          <w:lang w:eastAsia="en-AU"/>
        </w:rPr>
        <w:t>, resulting in potential risk for consumers</w:t>
      </w:r>
      <w:r>
        <w:rPr>
          <w:rFonts w:eastAsia="Times New Roman"/>
          <w:color w:val="000000"/>
          <w:lang w:eastAsia="en-AU"/>
        </w:rPr>
        <w:t>. Incident management systems are not capturing causes of incidents or developing effective interventions to prevent future incidents. As a result of these deficiencies, staff do not have sufficient information to respond to consumer needs. Some deficiencies were identified in the</w:t>
      </w:r>
      <w:r w:rsidR="00AE1E7E">
        <w:rPr>
          <w:rFonts w:eastAsia="Times New Roman"/>
          <w:color w:val="000000"/>
          <w:lang w:eastAsia="en-AU"/>
        </w:rPr>
        <w:t xml:space="preserve"> process when </w:t>
      </w:r>
      <w:r>
        <w:rPr>
          <w:rFonts w:eastAsia="Times New Roman"/>
          <w:color w:val="000000"/>
          <w:lang w:eastAsia="en-AU"/>
        </w:rPr>
        <w:t>transferr</w:t>
      </w:r>
      <w:r w:rsidR="00AE1E7E">
        <w:rPr>
          <w:rFonts w:eastAsia="Times New Roman"/>
          <w:color w:val="000000"/>
          <w:lang w:eastAsia="en-AU"/>
        </w:rPr>
        <w:t xml:space="preserve">ing consumers </w:t>
      </w:r>
      <w:r>
        <w:rPr>
          <w:rFonts w:eastAsia="Times New Roman"/>
          <w:color w:val="000000"/>
          <w:lang w:eastAsia="en-AU"/>
        </w:rPr>
        <w:t>to hospital</w:t>
      </w:r>
      <w:r w:rsidR="00EC19AD">
        <w:rPr>
          <w:rFonts w:eastAsia="Times New Roman"/>
          <w:color w:val="000000"/>
          <w:lang w:eastAsia="en-AU"/>
        </w:rPr>
        <w:t>, related to handover of information.</w:t>
      </w:r>
    </w:p>
    <w:p w14:paraId="008692A7" w14:textId="593FFB18" w:rsidR="0014631C" w:rsidRDefault="00DF45A6" w:rsidP="0036130C">
      <w:pPr>
        <w:pStyle w:val="NormalArial"/>
      </w:pPr>
      <w:r>
        <w:rPr>
          <w:rFonts w:eastAsia="Times New Roman"/>
          <w:color w:val="000000"/>
          <w:lang w:eastAsia="en-AU"/>
        </w:rPr>
        <w:t xml:space="preserve">Wound assessments and wound charting </w:t>
      </w:r>
      <w:r w:rsidR="008F6AC5">
        <w:rPr>
          <w:rFonts w:eastAsia="Times New Roman"/>
          <w:color w:val="000000"/>
          <w:lang w:eastAsia="en-AU"/>
        </w:rPr>
        <w:t>are</w:t>
      </w:r>
      <w:r>
        <w:rPr>
          <w:rFonts w:eastAsia="Times New Roman"/>
          <w:color w:val="000000"/>
          <w:lang w:eastAsia="en-AU"/>
        </w:rPr>
        <w:t xml:space="preserve"> not consistently recording relevant information about the condition and healing process of </w:t>
      </w:r>
      <w:r w:rsidRPr="008F6AC5">
        <w:rPr>
          <w:rFonts w:eastAsia="Times New Roman"/>
          <w:color w:val="000000"/>
          <w:lang w:eastAsia="en-AU"/>
        </w:rPr>
        <w:t>wounds</w:t>
      </w:r>
      <w:r w:rsidR="008F6AC5" w:rsidRPr="008F6AC5">
        <w:rPr>
          <w:rFonts w:eastAsia="Times New Roman"/>
          <w:color w:val="000000"/>
          <w:lang w:eastAsia="en-AU"/>
        </w:rPr>
        <w:t>.</w:t>
      </w:r>
    </w:p>
    <w:p w14:paraId="45B4C2B8" w14:textId="77777777" w:rsidR="00983BA5" w:rsidRDefault="00983BA5" w:rsidP="00983BA5">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66F30E77" w14:textId="0690A1F0" w:rsidR="00983BA5" w:rsidRPr="00262C0B" w:rsidRDefault="00983BA5" w:rsidP="0036130C">
      <w:pPr>
        <w:pStyle w:val="NormalArial"/>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e</w:t>
      </w:r>
      <w:r w:rsidRPr="00776F08">
        <w:rPr>
          <w:color w:val="auto"/>
        </w:rPr>
        <w:t>) is found Non-compliant.</w:t>
      </w:r>
    </w:p>
    <w:sectPr w:rsidR="00983BA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683C3" w14:textId="77777777" w:rsidR="00731422" w:rsidRDefault="00731422">
      <w:pPr>
        <w:spacing w:after="0"/>
      </w:pPr>
      <w:r>
        <w:separator/>
      </w:r>
    </w:p>
  </w:endnote>
  <w:endnote w:type="continuationSeparator" w:id="0">
    <w:p w14:paraId="42961743" w14:textId="77777777" w:rsidR="00731422" w:rsidRDefault="007314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8DF4" w14:textId="77777777" w:rsidR="000A1CBC" w:rsidRPr="00DF37F2" w:rsidRDefault="00CE426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Village by Scalabrini</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9688C54" w14:textId="77777777" w:rsidR="000A1CBC" w:rsidRPr="00DF37F2" w:rsidRDefault="00CE426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1064</w:t>
    </w:r>
    <w:bookmarkEnd w:id="1"/>
    <w:r w:rsidRPr="00DF37F2">
      <w:rPr>
        <w:rStyle w:val="FooterBold"/>
        <w:rFonts w:ascii="Arial" w:hAnsi="Arial"/>
        <w:b w:val="0"/>
      </w:rPr>
      <w:tab/>
      <w:t xml:space="preserve">OFFICIAL: Sensitive </w:t>
    </w:r>
  </w:p>
  <w:p w14:paraId="7ADC3F50" w14:textId="77777777" w:rsidR="000A1CBC" w:rsidRPr="00DF37F2" w:rsidRDefault="00CE42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BFA8" w14:textId="77777777" w:rsidR="000A1CBC" w:rsidRDefault="000A1C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6E79A" w14:textId="77777777" w:rsidR="00731422" w:rsidRDefault="00731422" w:rsidP="00D71F88">
      <w:pPr>
        <w:spacing w:after="0"/>
      </w:pPr>
      <w:r>
        <w:separator/>
      </w:r>
    </w:p>
  </w:footnote>
  <w:footnote w:type="continuationSeparator" w:id="0">
    <w:p w14:paraId="573C38EE" w14:textId="77777777" w:rsidR="00731422" w:rsidRDefault="00731422" w:rsidP="00D71F88">
      <w:pPr>
        <w:spacing w:after="0"/>
      </w:pPr>
      <w:r>
        <w:continuationSeparator/>
      </w:r>
    </w:p>
  </w:footnote>
  <w:footnote w:id="1">
    <w:p w14:paraId="29410E19" w14:textId="77777777" w:rsidR="000A1CBC" w:rsidRDefault="00CE426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19E4">
        <w:rPr>
          <w:rFonts w:ascii="Arial" w:hAnsi="Arial" w:cs="Arial"/>
          <w:color w:val="auto"/>
          <w:sz w:val="20"/>
          <w:szCs w:val="20"/>
        </w:rPr>
        <w:t>section 68A</w:t>
      </w:r>
      <w:r w:rsidRPr="004019E4">
        <w:rPr>
          <w:rFonts w:ascii="Arial" w:hAnsi="Arial" w:cs="Arial"/>
          <w:b/>
          <w:color w:val="auto"/>
          <w:sz w:val="20"/>
          <w:szCs w:val="20"/>
        </w:rPr>
        <w:t xml:space="preserve"> </w:t>
      </w:r>
      <w:r w:rsidRPr="004019E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FC6A029" w14:textId="77777777" w:rsidR="000A1CBC" w:rsidRDefault="000A1C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DD954" w14:textId="77777777" w:rsidR="000A1CBC" w:rsidRDefault="00CE4262">
    <w:pPr>
      <w:pStyle w:val="Header"/>
    </w:pPr>
    <w:r>
      <w:rPr>
        <w:noProof/>
        <w:color w:val="2B579A"/>
        <w:shd w:val="clear" w:color="auto" w:fill="E6E6E6"/>
        <w:lang w:val="en-US"/>
      </w:rPr>
      <w:drawing>
        <wp:anchor distT="0" distB="0" distL="114300" distR="114300" simplePos="0" relativeHeight="251658241" behindDoc="1" locked="0" layoutInCell="1" allowOverlap="1" wp14:anchorId="2C0BD49F" wp14:editId="5CE8A3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B659" w14:textId="77777777" w:rsidR="000A1CBC" w:rsidRDefault="00CE4262">
    <w:pPr>
      <w:pStyle w:val="Header"/>
    </w:pPr>
    <w:r>
      <w:rPr>
        <w:noProof/>
      </w:rPr>
      <w:drawing>
        <wp:anchor distT="0" distB="0" distL="114300" distR="114300" simplePos="0" relativeHeight="251658240" behindDoc="0" locked="0" layoutInCell="1" allowOverlap="1" wp14:anchorId="63DE6A8A" wp14:editId="66AA2B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309CAE">
      <w:start w:val="1"/>
      <w:numFmt w:val="lowerRoman"/>
      <w:lvlText w:val="(%1)"/>
      <w:lvlJc w:val="left"/>
      <w:pPr>
        <w:ind w:left="1080" w:hanging="720"/>
      </w:pPr>
      <w:rPr>
        <w:rFonts w:hint="default"/>
      </w:rPr>
    </w:lvl>
    <w:lvl w:ilvl="1" w:tplc="42A2BF76" w:tentative="1">
      <w:start w:val="1"/>
      <w:numFmt w:val="lowerLetter"/>
      <w:lvlText w:val="%2."/>
      <w:lvlJc w:val="left"/>
      <w:pPr>
        <w:ind w:left="1440" w:hanging="360"/>
      </w:pPr>
    </w:lvl>
    <w:lvl w:ilvl="2" w:tplc="85CEA9C4" w:tentative="1">
      <w:start w:val="1"/>
      <w:numFmt w:val="lowerRoman"/>
      <w:lvlText w:val="%3."/>
      <w:lvlJc w:val="right"/>
      <w:pPr>
        <w:ind w:left="2160" w:hanging="180"/>
      </w:pPr>
    </w:lvl>
    <w:lvl w:ilvl="3" w:tplc="73D2CE9A" w:tentative="1">
      <w:start w:val="1"/>
      <w:numFmt w:val="decimal"/>
      <w:lvlText w:val="%4."/>
      <w:lvlJc w:val="left"/>
      <w:pPr>
        <w:ind w:left="2880" w:hanging="360"/>
      </w:pPr>
    </w:lvl>
    <w:lvl w:ilvl="4" w:tplc="6AD4C350" w:tentative="1">
      <w:start w:val="1"/>
      <w:numFmt w:val="lowerLetter"/>
      <w:lvlText w:val="%5."/>
      <w:lvlJc w:val="left"/>
      <w:pPr>
        <w:ind w:left="3600" w:hanging="360"/>
      </w:pPr>
    </w:lvl>
    <w:lvl w:ilvl="5" w:tplc="5B38D734" w:tentative="1">
      <w:start w:val="1"/>
      <w:numFmt w:val="lowerRoman"/>
      <w:lvlText w:val="%6."/>
      <w:lvlJc w:val="right"/>
      <w:pPr>
        <w:ind w:left="4320" w:hanging="180"/>
      </w:pPr>
    </w:lvl>
    <w:lvl w:ilvl="6" w:tplc="8604B31C" w:tentative="1">
      <w:start w:val="1"/>
      <w:numFmt w:val="decimal"/>
      <w:lvlText w:val="%7."/>
      <w:lvlJc w:val="left"/>
      <w:pPr>
        <w:ind w:left="5040" w:hanging="360"/>
      </w:pPr>
    </w:lvl>
    <w:lvl w:ilvl="7" w:tplc="EFD67C7C" w:tentative="1">
      <w:start w:val="1"/>
      <w:numFmt w:val="lowerLetter"/>
      <w:lvlText w:val="%8."/>
      <w:lvlJc w:val="left"/>
      <w:pPr>
        <w:ind w:left="5760" w:hanging="360"/>
      </w:pPr>
    </w:lvl>
    <w:lvl w:ilvl="8" w:tplc="3BD4AC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42E666">
      <w:start w:val="1"/>
      <w:numFmt w:val="lowerRoman"/>
      <w:lvlText w:val="(%1)"/>
      <w:lvlJc w:val="left"/>
      <w:pPr>
        <w:ind w:left="1080" w:hanging="720"/>
      </w:pPr>
      <w:rPr>
        <w:rFonts w:hint="default"/>
      </w:rPr>
    </w:lvl>
    <w:lvl w:ilvl="1" w:tplc="866AF2DA" w:tentative="1">
      <w:start w:val="1"/>
      <w:numFmt w:val="lowerLetter"/>
      <w:lvlText w:val="%2."/>
      <w:lvlJc w:val="left"/>
      <w:pPr>
        <w:ind w:left="1440" w:hanging="360"/>
      </w:pPr>
    </w:lvl>
    <w:lvl w:ilvl="2" w:tplc="4D4A9C72" w:tentative="1">
      <w:start w:val="1"/>
      <w:numFmt w:val="lowerRoman"/>
      <w:lvlText w:val="%3."/>
      <w:lvlJc w:val="right"/>
      <w:pPr>
        <w:ind w:left="2160" w:hanging="180"/>
      </w:pPr>
    </w:lvl>
    <w:lvl w:ilvl="3" w:tplc="54187494" w:tentative="1">
      <w:start w:val="1"/>
      <w:numFmt w:val="decimal"/>
      <w:lvlText w:val="%4."/>
      <w:lvlJc w:val="left"/>
      <w:pPr>
        <w:ind w:left="2880" w:hanging="360"/>
      </w:pPr>
    </w:lvl>
    <w:lvl w:ilvl="4" w:tplc="CF824256" w:tentative="1">
      <w:start w:val="1"/>
      <w:numFmt w:val="lowerLetter"/>
      <w:lvlText w:val="%5."/>
      <w:lvlJc w:val="left"/>
      <w:pPr>
        <w:ind w:left="3600" w:hanging="360"/>
      </w:pPr>
    </w:lvl>
    <w:lvl w:ilvl="5" w:tplc="5FC0CAFA" w:tentative="1">
      <w:start w:val="1"/>
      <w:numFmt w:val="lowerRoman"/>
      <w:lvlText w:val="%6."/>
      <w:lvlJc w:val="right"/>
      <w:pPr>
        <w:ind w:left="4320" w:hanging="180"/>
      </w:pPr>
    </w:lvl>
    <w:lvl w:ilvl="6" w:tplc="71F8BCB2" w:tentative="1">
      <w:start w:val="1"/>
      <w:numFmt w:val="decimal"/>
      <w:lvlText w:val="%7."/>
      <w:lvlJc w:val="left"/>
      <w:pPr>
        <w:ind w:left="5040" w:hanging="360"/>
      </w:pPr>
    </w:lvl>
    <w:lvl w:ilvl="7" w:tplc="7DD82C06" w:tentative="1">
      <w:start w:val="1"/>
      <w:numFmt w:val="lowerLetter"/>
      <w:lvlText w:val="%8."/>
      <w:lvlJc w:val="left"/>
      <w:pPr>
        <w:ind w:left="5760" w:hanging="360"/>
      </w:pPr>
    </w:lvl>
    <w:lvl w:ilvl="8" w:tplc="71E60D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29A3D76">
      <w:start w:val="1"/>
      <w:numFmt w:val="lowerRoman"/>
      <w:lvlText w:val="(%1)"/>
      <w:lvlJc w:val="left"/>
      <w:pPr>
        <w:ind w:left="1080" w:hanging="720"/>
      </w:pPr>
      <w:rPr>
        <w:rFonts w:hint="default"/>
      </w:rPr>
    </w:lvl>
    <w:lvl w:ilvl="1" w:tplc="5CBC09AE" w:tentative="1">
      <w:start w:val="1"/>
      <w:numFmt w:val="lowerLetter"/>
      <w:lvlText w:val="%2."/>
      <w:lvlJc w:val="left"/>
      <w:pPr>
        <w:ind w:left="1440" w:hanging="360"/>
      </w:pPr>
    </w:lvl>
    <w:lvl w:ilvl="2" w:tplc="B814691A" w:tentative="1">
      <w:start w:val="1"/>
      <w:numFmt w:val="lowerRoman"/>
      <w:lvlText w:val="%3."/>
      <w:lvlJc w:val="right"/>
      <w:pPr>
        <w:ind w:left="2160" w:hanging="180"/>
      </w:pPr>
    </w:lvl>
    <w:lvl w:ilvl="3" w:tplc="83EC57BA" w:tentative="1">
      <w:start w:val="1"/>
      <w:numFmt w:val="decimal"/>
      <w:lvlText w:val="%4."/>
      <w:lvlJc w:val="left"/>
      <w:pPr>
        <w:ind w:left="2880" w:hanging="360"/>
      </w:pPr>
    </w:lvl>
    <w:lvl w:ilvl="4" w:tplc="F35CB358" w:tentative="1">
      <w:start w:val="1"/>
      <w:numFmt w:val="lowerLetter"/>
      <w:lvlText w:val="%5."/>
      <w:lvlJc w:val="left"/>
      <w:pPr>
        <w:ind w:left="3600" w:hanging="360"/>
      </w:pPr>
    </w:lvl>
    <w:lvl w:ilvl="5" w:tplc="BF104C06" w:tentative="1">
      <w:start w:val="1"/>
      <w:numFmt w:val="lowerRoman"/>
      <w:lvlText w:val="%6."/>
      <w:lvlJc w:val="right"/>
      <w:pPr>
        <w:ind w:left="4320" w:hanging="180"/>
      </w:pPr>
    </w:lvl>
    <w:lvl w:ilvl="6" w:tplc="0966DE2E" w:tentative="1">
      <w:start w:val="1"/>
      <w:numFmt w:val="decimal"/>
      <w:lvlText w:val="%7."/>
      <w:lvlJc w:val="left"/>
      <w:pPr>
        <w:ind w:left="5040" w:hanging="360"/>
      </w:pPr>
    </w:lvl>
    <w:lvl w:ilvl="7" w:tplc="22162984" w:tentative="1">
      <w:start w:val="1"/>
      <w:numFmt w:val="lowerLetter"/>
      <w:lvlText w:val="%8."/>
      <w:lvlJc w:val="left"/>
      <w:pPr>
        <w:ind w:left="5760" w:hanging="360"/>
      </w:pPr>
    </w:lvl>
    <w:lvl w:ilvl="8" w:tplc="09B4A4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BE26282">
      <w:start w:val="1"/>
      <w:numFmt w:val="bullet"/>
      <w:lvlText w:val=""/>
      <w:lvlJc w:val="left"/>
      <w:pPr>
        <w:ind w:left="720" w:hanging="360"/>
      </w:pPr>
      <w:rPr>
        <w:rFonts w:ascii="Symbol" w:hAnsi="Symbol" w:hint="default"/>
        <w:color w:val="auto"/>
        <w:sz w:val="24"/>
        <w:szCs w:val="24"/>
      </w:rPr>
    </w:lvl>
    <w:lvl w:ilvl="1" w:tplc="7EDC4788" w:tentative="1">
      <w:start w:val="1"/>
      <w:numFmt w:val="bullet"/>
      <w:lvlText w:val="o"/>
      <w:lvlJc w:val="left"/>
      <w:pPr>
        <w:ind w:left="1440" w:hanging="360"/>
      </w:pPr>
      <w:rPr>
        <w:rFonts w:ascii="Courier New" w:hAnsi="Courier New" w:cs="Courier New" w:hint="default"/>
      </w:rPr>
    </w:lvl>
    <w:lvl w:ilvl="2" w:tplc="8E2C9178" w:tentative="1">
      <w:start w:val="1"/>
      <w:numFmt w:val="bullet"/>
      <w:lvlText w:val=""/>
      <w:lvlJc w:val="left"/>
      <w:pPr>
        <w:ind w:left="2160" w:hanging="360"/>
      </w:pPr>
      <w:rPr>
        <w:rFonts w:ascii="Wingdings" w:hAnsi="Wingdings" w:hint="default"/>
      </w:rPr>
    </w:lvl>
    <w:lvl w:ilvl="3" w:tplc="3EE681AA" w:tentative="1">
      <w:start w:val="1"/>
      <w:numFmt w:val="bullet"/>
      <w:lvlText w:val=""/>
      <w:lvlJc w:val="left"/>
      <w:pPr>
        <w:ind w:left="2880" w:hanging="360"/>
      </w:pPr>
      <w:rPr>
        <w:rFonts w:ascii="Symbol" w:hAnsi="Symbol" w:hint="default"/>
      </w:rPr>
    </w:lvl>
    <w:lvl w:ilvl="4" w:tplc="D5DC0496" w:tentative="1">
      <w:start w:val="1"/>
      <w:numFmt w:val="bullet"/>
      <w:lvlText w:val="o"/>
      <w:lvlJc w:val="left"/>
      <w:pPr>
        <w:ind w:left="3600" w:hanging="360"/>
      </w:pPr>
      <w:rPr>
        <w:rFonts w:ascii="Courier New" w:hAnsi="Courier New" w:cs="Courier New" w:hint="default"/>
      </w:rPr>
    </w:lvl>
    <w:lvl w:ilvl="5" w:tplc="25FA2BAC" w:tentative="1">
      <w:start w:val="1"/>
      <w:numFmt w:val="bullet"/>
      <w:lvlText w:val=""/>
      <w:lvlJc w:val="left"/>
      <w:pPr>
        <w:ind w:left="4320" w:hanging="360"/>
      </w:pPr>
      <w:rPr>
        <w:rFonts w:ascii="Wingdings" w:hAnsi="Wingdings" w:hint="default"/>
      </w:rPr>
    </w:lvl>
    <w:lvl w:ilvl="6" w:tplc="B2C60346" w:tentative="1">
      <w:start w:val="1"/>
      <w:numFmt w:val="bullet"/>
      <w:lvlText w:val=""/>
      <w:lvlJc w:val="left"/>
      <w:pPr>
        <w:ind w:left="5040" w:hanging="360"/>
      </w:pPr>
      <w:rPr>
        <w:rFonts w:ascii="Symbol" w:hAnsi="Symbol" w:hint="default"/>
      </w:rPr>
    </w:lvl>
    <w:lvl w:ilvl="7" w:tplc="CE763A26" w:tentative="1">
      <w:start w:val="1"/>
      <w:numFmt w:val="bullet"/>
      <w:lvlText w:val="o"/>
      <w:lvlJc w:val="left"/>
      <w:pPr>
        <w:ind w:left="5760" w:hanging="360"/>
      </w:pPr>
      <w:rPr>
        <w:rFonts w:ascii="Courier New" w:hAnsi="Courier New" w:cs="Courier New" w:hint="default"/>
      </w:rPr>
    </w:lvl>
    <w:lvl w:ilvl="8" w:tplc="560ECE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F3EAE94">
      <w:start w:val="1"/>
      <w:numFmt w:val="lowerRoman"/>
      <w:lvlText w:val="(%1)"/>
      <w:lvlJc w:val="left"/>
      <w:pPr>
        <w:ind w:left="1080" w:hanging="720"/>
      </w:pPr>
      <w:rPr>
        <w:rFonts w:hint="default"/>
      </w:rPr>
    </w:lvl>
    <w:lvl w:ilvl="1" w:tplc="FBF0B61E" w:tentative="1">
      <w:start w:val="1"/>
      <w:numFmt w:val="lowerLetter"/>
      <w:lvlText w:val="%2."/>
      <w:lvlJc w:val="left"/>
      <w:pPr>
        <w:ind w:left="1440" w:hanging="360"/>
      </w:pPr>
    </w:lvl>
    <w:lvl w:ilvl="2" w:tplc="40289DEA" w:tentative="1">
      <w:start w:val="1"/>
      <w:numFmt w:val="lowerRoman"/>
      <w:lvlText w:val="%3."/>
      <w:lvlJc w:val="right"/>
      <w:pPr>
        <w:ind w:left="2160" w:hanging="180"/>
      </w:pPr>
    </w:lvl>
    <w:lvl w:ilvl="3" w:tplc="A2C6198C" w:tentative="1">
      <w:start w:val="1"/>
      <w:numFmt w:val="decimal"/>
      <w:lvlText w:val="%4."/>
      <w:lvlJc w:val="left"/>
      <w:pPr>
        <w:ind w:left="2880" w:hanging="360"/>
      </w:pPr>
    </w:lvl>
    <w:lvl w:ilvl="4" w:tplc="6C86D026" w:tentative="1">
      <w:start w:val="1"/>
      <w:numFmt w:val="lowerLetter"/>
      <w:lvlText w:val="%5."/>
      <w:lvlJc w:val="left"/>
      <w:pPr>
        <w:ind w:left="3600" w:hanging="360"/>
      </w:pPr>
    </w:lvl>
    <w:lvl w:ilvl="5" w:tplc="C0BED11C" w:tentative="1">
      <w:start w:val="1"/>
      <w:numFmt w:val="lowerRoman"/>
      <w:lvlText w:val="%6."/>
      <w:lvlJc w:val="right"/>
      <w:pPr>
        <w:ind w:left="4320" w:hanging="180"/>
      </w:pPr>
    </w:lvl>
    <w:lvl w:ilvl="6" w:tplc="B1A8FB08" w:tentative="1">
      <w:start w:val="1"/>
      <w:numFmt w:val="decimal"/>
      <w:lvlText w:val="%7."/>
      <w:lvlJc w:val="left"/>
      <w:pPr>
        <w:ind w:left="5040" w:hanging="360"/>
      </w:pPr>
    </w:lvl>
    <w:lvl w:ilvl="7" w:tplc="E7460526" w:tentative="1">
      <w:start w:val="1"/>
      <w:numFmt w:val="lowerLetter"/>
      <w:lvlText w:val="%8."/>
      <w:lvlJc w:val="left"/>
      <w:pPr>
        <w:ind w:left="5760" w:hanging="360"/>
      </w:pPr>
    </w:lvl>
    <w:lvl w:ilvl="8" w:tplc="C10CA4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2E2DEEE">
      <w:start w:val="1"/>
      <w:numFmt w:val="lowerRoman"/>
      <w:lvlText w:val="(%1)"/>
      <w:lvlJc w:val="left"/>
      <w:pPr>
        <w:ind w:left="1080" w:hanging="720"/>
      </w:pPr>
      <w:rPr>
        <w:rFonts w:hint="default"/>
      </w:rPr>
    </w:lvl>
    <w:lvl w:ilvl="1" w:tplc="CD8886C2" w:tentative="1">
      <w:start w:val="1"/>
      <w:numFmt w:val="lowerLetter"/>
      <w:lvlText w:val="%2."/>
      <w:lvlJc w:val="left"/>
      <w:pPr>
        <w:ind w:left="1440" w:hanging="360"/>
      </w:pPr>
    </w:lvl>
    <w:lvl w:ilvl="2" w:tplc="60ECC4CC" w:tentative="1">
      <w:start w:val="1"/>
      <w:numFmt w:val="lowerRoman"/>
      <w:lvlText w:val="%3."/>
      <w:lvlJc w:val="right"/>
      <w:pPr>
        <w:ind w:left="2160" w:hanging="180"/>
      </w:pPr>
    </w:lvl>
    <w:lvl w:ilvl="3" w:tplc="7C32E62E" w:tentative="1">
      <w:start w:val="1"/>
      <w:numFmt w:val="decimal"/>
      <w:lvlText w:val="%4."/>
      <w:lvlJc w:val="left"/>
      <w:pPr>
        <w:ind w:left="2880" w:hanging="360"/>
      </w:pPr>
    </w:lvl>
    <w:lvl w:ilvl="4" w:tplc="12A6EB54" w:tentative="1">
      <w:start w:val="1"/>
      <w:numFmt w:val="lowerLetter"/>
      <w:lvlText w:val="%5."/>
      <w:lvlJc w:val="left"/>
      <w:pPr>
        <w:ind w:left="3600" w:hanging="360"/>
      </w:pPr>
    </w:lvl>
    <w:lvl w:ilvl="5" w:tplc="9E42DF1C" w:tentative="1">
      <w:start w:val="1"/>
      <w:numFmt w:val="lowerRoman"/>
      <w:lvlText w:val="%6."/>
      <w:lvlJc w:val="right"/>
      <w:pPr>
        <w:ind w:left="4320" w:hanging="180"/>
      </w:pPr>
    </w:lvl>
    <w:lvl w:ilvl="6" w:tplc="D27A2AF0" w:tentative="1">
      <w:start w:val="1"/>
      <w:numFmt w:val="decimal"/>
      <w:lvlText w:val="%7."/>
      <w:lvlJc w:val="left"/>
      <w:pPr>
        <w:ind w:left="5040" w:hanging="360"/>
      </w:pPr>
    </w:lvl>
    <w:lvl w:ilvl="7" w:tplc="9F2AA318" w:tentative="1">
      <w:start w:val="1"/>
      <w:numFmt w:val="lowerLetter"/>
      <w:lvlText w:val="%8."/>
      <w:lvlJc w:val="left"/>
      <w:pPr>
        <w:ind w:left="5760" w:hanging="360"/>
      </w:pPr>
    </w:lvl>
    <w:lvl w:ilvl="8" w:tplc="3C16AB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63A55A2">
      <w:start w:val="1"/>
      <w:numFmt w:val="lowerRoman"/>
      <w:lvlText w:val="(%1)"/>
      <w:lvlJc w:val="left"/>
      <w:pPr>
        <w:ind w:left="1080" w:hanging="720"/>
      </w:pPr>
      <w:rPr>
        <w:rFonts w:hint="default"/>
      </w:rPr>
    </w:lvl>
    <w:lvl w:ilvl="1" w:tplc="9ED61784" w:tentative="1">
      <w:start w:val="1"/>
      <w:numFmt w:val="lowerLetter"/>
      <w:lvlText w:val="%2."/>
      <w:lvlJc w:val="left"/>
      <w:pPr>
        <w:ind w:left="1440" w:hanging="360"/>
      </w:pPr>
    </w:lvl>
    <w:lvl w:ilvl="2" w:tplc="904094E8" w:tentative="1">
      <w:start w:val="1"/>
      <w:numFmt w:val="lowerRoman"/>
      <w:lvlText w:val="%3."/>
      <w:lvlJc w:val="right"/>
      <w:pPr>
        <w:ind w:left="2160" w:hanging="180"/>
      </w:pPr>
    </w:lvl>
    <w:lvl w:ilvl="3" w:tplc="292037AE" w:tentative="1">
      <w:start w:val="1"/>
      <w:numFmt w:val="decimal"/>
      <w:lvlText w:val="%4."/>
      <w:lvlJc w:val="left"/>
      <w:pPr>
        <w:ind w:left="2880" w:hanging="360"/>
      </w:pPr>
    </w:lvl>
    <w:lvl w:ilvl="4" w:tplc="88CC6E40" w:tentative="1">
      <w:start w:val="1"/>
      <w:numFmt w:val="lowerLetter"/>
      <w:lvlText w:val="%5."/>
      <w:lvlJc w:val="left"/>
      <w:pPr>
        <w:ind w:left="3600" w:hanging="360"/>
      </w:pPr>
    </w:lvl>
    <w:lvl w:ilvl="5" w:tplc="2492551A" w:tentative="1">
      <w:start w:val="1"/>
      <w:numFmt w:val="lowerRoman"/>
      <w:lvlText w:val="%6."/>
      <w:lvlJc w:val="right"/>
      <w:pPr>
        <w:ind w:left="4320" w:hanging="180"/>
      </w:pPr>
    </w:lvl>
    <w:lvl w:ilvl="6" w:tplc="5D10BAE4" w:tentative="1">
      <w:start w:val="1"/>
      <w:numFmt w:val="decimal"/>
      <w:lvlText w:val="%7."/>
      <w:lvlJc w:val="left"/>
      <w:pPr>
        <w:ind w:left="5040" w:hanging="360"/>
      </w:pPr>
    </w:lvl>
    <w:lvl w:ilvl="7" w:tplc="5B14663C" w:tentative="1">
      <w:start w:val="1"/>
      <w:numFmt w:val="lowerLetter"/>
      <w:lvlText w:val="%8."/>
      <w:lvlJc w:val="left"/>
      <w:pPr>
        <w:ind w:left="5760" w:hanging="360"/>
      </w:pPr>
    </w:lvl>
    <w:lvl w:ilvl="8" w:tplc="8D42B1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C64E83C">
      <w:start w:val="1"/>
      <w:numFmt w:val="lowerRoman"/>
      <w:lvlText w:val="(%1)"/>
      <w:lvlJc w:val="left"/>
      <w:pPr>
        <w:ind w:left="1080" w:hanging="720"/>
      </w:pPr>
      <w:rPr>
        <w:rFonts w:hint="default"/>
      </w:rPr>
    </w:lvl>
    <w:lvl w:ilvl="1" w:tplc="EC589E68" w:tentative="1">
      <w:start w:val="1"/>
      <w:numFmt w:val="lowerLetter"/>
      <w:lvlText w:val="%2."/>
      <w:lvlJc w:val="left"/>
      <w:pPr>
        <w:ind w:left="1440" w:hanging="360"/>
      </w:pPr>
    </w:lvl>
    <w:lvl w:ilvl="2" w:tplc="66E031F6" w:tentative="1">
      <w:start w:val="1"/>
      <w:numFmt w:val="lowerRoman"/>
      <w:lvlText w:val="%3."/>
      <w:lvlJc w:val="right"/>
      <w:pPr>
        <w:ind w:left="2160" w:hanging="180"/>
      </w:pPr>
    </w:lvl>
    <w:lvl w:ilvl="3" w:tplc="0EF891C0" w:tentative="1">
      <w:start w:val="1"/>
      <w:numFmt w:val="decimal"/>
      <w:lvlText w:val="%4."/>
      <w:lvlJc w:val="left"/>
      <w:pPr>
        <w:ind w:left="2880" w:hanging="360"/>
      </w:pPr>
    </w:lvl>
    <w:lvl w:ilvl="4" w:tplc="FEACD9D8" w:tentative="1">
      <w:start w:val="1"/>
      <w:numFmt w:val="lowerLetter"/>
      <w:lvlText w:val="%5."/>
      <w:lvlJc w:val="left"/>
      <w:pPr>
        <w:ind w:left="3600" w:hanging="360"/>
      </w:pPr>
    </w:lvl>
    <w:lvl w:ilvl="5" w:tplc="C1EAC470" w:tentative="1">
      <w:start w:val="1"/>
      <w:numFmt w:val="lowerRoman"/>
      <w:lvlText w:val="%6."/>
      <w:lvlJc w:val="right"/>
      <w:pPr>
        <w:ind w:left="4320" w:hanging="180"/>
      </w:pPr>
    </w:lvl>
    <w:lvl w:ilvl="6" w:tplc="9D82EF40" w:tentative="1">
      <w:start w:val="1"/>
      <w:numFmt w:val="decimal"/>
      <w:lvlText w:val="%7."/>
      <w:lvlJc w:val="left"/>
      <w:pPr>
        <w:ind w:left="5040" w:hanging="360"/>
      </w:pPr>
    </w:lvl>
    <w:lvl w:ilvl="7" w:tplc="E952B134" w:tentative="1">
      <w:start w:val="1"/>
      <w:numFmt w:val="lowerLetter"/>
      <w:lvlText w:val="%8."/>
      <w:lvlJc w:val="left"/>
      <w:pPr>
        <w:ind w:left="5760" w:hanging="360"/>
      </w:pPr>
    </w:lvl>
    <w:lvl w:ilvl="8" w:tplc="9D66F77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CC27746">
      <w:start w:val="1"/>
      <w:numFmt w:val="lowerRoman"/>
      <w:lvlText w:val="(%1)"/>
      <w:lvlJc w:val="left"/>
      <w:pPr>
        <w:ind w:left="1080" w:hanging="720"/>
      </w:pPr>
      <w:rPr>
        <w:rFonts w:hint="default"/>
      </w:rPr>
    </w:lvl>
    <w:lvl w:ilvl="1" w:tplc="24F082C4" w:tentative="1">
      <w:start w:val="1"/>
      <w:numFmt w:val="lowerLetter"/>
      <w:lvlText w:val="%2."/>
      <w:lvlJc w:val="left"/>
      <w:pPr>
        <w:ind w:left="1440" w:hanging="360"/>
      </w:pPr>
    </w:lvl>
    <w:lvl w:ilvl="2" w:tplc="FA240358" w:tentative="1">
      <w:start w:val="1"/>
      <w:numFmt w:val="lowerRoman"/>
      <w:lvlText w:val="%3."/>
      <w:lvlJc w:val="right"/>
      <w:pPr>
        <w:ind w:left="2160" w:hanging="180"/>
      </w:pPr>
    </w:lvl>
    <w:lvl w:ilvl="3" w:tplc="AB4AACA0" w:tentative="1">
      <w:start w:val="1"/>
      <w:numFmt w:val="decimal"/>
      <w:lvlText w:val="%4."/>
      <w:lvlJc w:val="left"/>
      <w:pPr>
        <w:ind w:left="2880" w:hanging="360"/>
      </w:pPr>
    </w:lvl>
    <w:lvl w:ilvl="4" w:tplc="2C5E998E" w:tentative="1">
      <w:start w:val="1"/>
      <w:numFmt w:val="lowerLetter"/>
      <w:lvlText w:val="%5."/>
      <w:lvlJc w:val="left"/>
      <w:pPr>
        <w:ind w:left="3600" w:hanging="360"/>
      </w:pPr>
    </w:lvl>
    <w:lvl w:ilvl="5" w:tplc="567AEEA2" w:tentative="1">
      <w:start w:val="1"/>
      <w:numFmt w:val="lowerRoman"/>
      <w:lvlText w:val="%6."/>
      <w:lvlJc w:val="right"/>
      <w:pPr>
        <w:ind w:left="4320" w:hanging="180"/>
      </w:pPr>
    </w:lvl>
    <w:lvl w:ilvl="6" w:tplc="714CD0CE" w:tentative="1">
      <w:start w:val="1"/>
      <w:numFmt w:val="decimal"/>
      <w:lvlText w:val="%7."/>
      <w:lvlJc w:val="left"/>
      <w:pPr>
        <w:ind w:left="5040" w:hanging="360"/>
      </w:pPr>
    </w:lvl>
    <w:lvl w:ilvl="7" w:tplc="046CF082" w:tentative="1">
      <w:start w:val="1"/>
      <w:numFmt w:val="lowerLetter"/>
      <w:lvlText w:val="%8."/>
      <w:lvlJc w:val="left"/>
      <w:pPr>
        <w:ind w:left="5760" w:hanging="360"/>
      </w:pPr>
    </w:lvl>
    <w:lvl w:ilvl="8" w:tplc="35DA54E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976C4B0">
      <w:start w:val="1"/>
      <w:numFmt w:val="lowerRoman"/>
      <w:lvlText w:val="(%1)"/>
      <w:lvlJc w:val="left"/>
      <w:pPr>
        <w:ind w:left="1080" w:hanging="720"/>
      </w:pPr>
      <w:rPr>
        <w:rFonts w:hint="default"/>
      </w:rPr>
    </w:lvl>
    <w:lvl w:ilvl="1" w:tplc="4868418E" w:tentative="1">
      <w:start w:val="1"/>
      <w:numFmt w:val="lowerLetter"/>
      <w:lvlText w:val="%2."/>
      <w:lvlJc w:val="left"/>
      <w:pPr>
        <w:ind w:left="1440" w:hanging="360"/>
      </w:pPr>
    </w:lvl>
    <w:lvl w:ilvl="2" w:tplc="68A63F58" w:tentative="1">
      <w:start w:val="1"/>
      <w:numFmt w:val="lowerRoman"/>
      <w:lvlText w:val="%3."/>
      <w:lvlJc w:val="right"/>
      <w:pPr>
        <w:ind w:left="2160" w:hanging="180"/>
      </w:pPr>
    </w:lvl>
    <w:lvl w:ilvl="3" w:tplc="77162AA0" w:tentative="1">
      <w:start w:val="1"/>
      <w:numFmt w:val="decimal"/>
      <w:lvlText w:val="%4."/>
      <w:lvlJc w:val="left"/>
      <w:pPr>
        <w:ind w:left="2880" w:hanging="360"/>
      </w:pPr>
    </w:lvl>
    <w:lvl w:ilvl="4" w:tplc="A4F82F0A" w:tentative="1">
      <w:start w:val="1"/>
      <w:numFmt w:val="lowerLetter"/>
      <w:lvlText w:val="%5."/>
      <w:lvlJc w:val="left"/>
      <w:pPr>
        <w:ind w:left="3600" w:hanging="360"/>
      </w:pPr>
    </w:lvl>
    <w:lvl w:ilvl="5" w:tplc="E1A05544" w:tentative="1">
      <w:start w:val="1"/>
      <w:numFmt w:val="lowerRoman"/>
      <w:lvlText w:val="%6."/>
      <w:lvlJc w:val="right"/>
      <w:pPr>
        <w:ind w:left="4320" w:hanging="180"/>
      </w:pPr>
    </w:lvl>
    <w:lvl w:ilvl="6" w:tplc="64ACA796" w:tentative="1">
      <w:start w:val="1"/>
      <w:numFmt w:val="decimal"/>
      <w:lvlText w:val="%7."/>
      <w:lvlJc w:val="left"/>
      <w:pPr>
        <w:ind w:left="5040" w:hanging="360"/>
      </w:pPr>
    </w:lvl>
    <w:lvl w:ilvl="7" w:tplc="9D08B1D4" w:tentative="1">
      <w:start w:val="1"/>
      <w:numFmt w:val="lowerLetter"/>
      <w:lvlText w:val="%8."/>
      <w:lvlJc w:val="left"/>
      <w:pPr>
        <w:ind w:left="5760" w:hanging="360"/>
      </w:pPr>
    </w:lvl>
    <w:lvl w:ilvl="8" w:tplc="80EA04D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836476">
    <w:abstractNumId w:val="11"/>
  </w:num>
  <w:num w:numId="2" w16cid:durableId="2006518400">
    <w:abstractNumId w:val="4"/>
  </w:num>
  <w:num w:numId="3" w16cid:durableId="1994409843">
    <w:abstractNumId w:val="2"/>
  </w:num>
  <w:num w:numId="4" w16cid:durableId="953442388">
    <w:abstractNumId w:val="7"/>
  </w:num>
  <w:num w:numId="5" w16cid:durableId="1342007364">
    <w:abstractNumId w:val="6"/>
  </w:num>
  <w:num w:numId="6" w16cid:durableId="1810975660">
    <w:abstractNumId w:val="1"/>
  </w:num>
  <w:num w:numId="7" w16cid:durableId="1524517094">
    <w:abstractNumId w:val="9"/>
  </w:num>
  <w:num w:numId="8" w16cid:durableId="611516853">
    <w:abstractNumId w:val="5"/>
  </w:num>
  <w:num w:numId="9" w16cid:durableId="1120104089">
    <w:abstractNumId w:val="8"/>
  </w:num>
  <w:num w:numId="10" w16cid:durableId="1499157234">
    <w:abstractNumId w:val="3"/>
  </w:num>
  <w:num w:numId="11" w16cid:durableId="1738355336">
    <w:abstractNumId w:val="10"/>
  </w:num>
  <w:num w:numId="12" w16cid:durableId="132259004">
    <w:abstractNumId w:val="0"/>
  </w:num>
  <w:num w:numId="13" w16cid:durableId="1475486264">
    <w:abstractNumId w:val="11"/>
  </w:num>
  <w:num w:numId="14" w16cid:durableId="1534952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7FE"/>
    <w:rsid w:val="000A1CBC"/>
    <w:rsid w:val="000B78B5"/>
    <w:rsid w:val="000C11A9"/>
    <w:rsid w:val="0014631C"/>
    <w:rsid w:val="00335CD7"/>
    <w:rsid w:val="003850D0"/>
    <w:rsid w:val="004019E4"/>
    <w:rsid w:val="005633EF"/>
    <w:rsid w:val="00731422"/>
    <w:rsid w:val="0087603A"/>
    <w:rsid w:val="008C3AB0"/>
    <w:rsid w:val="008C3CE0"/>
    <w:rsid w:val="008F6AC5"/>
    <w:rsid w:val="00983BA5"/>
    <w:rsid w:val="00AE1E7E"/>
    <w:rsid w:val="00B2744E"/>
    <w:rsid w:val="00C0499B"/>
    <w:rsid w:val="00CA77FE"/>
    <w:rsid w:val="00CE4262"/>
    <w:rsid w:val="00DE09B6"/>
    <w:rsid w:val="00DF45A6"/>
    <w:rsid w:val="00E50F41"/>
    <w:rsid w:val="00E86AF6"/>
    <w:rsid w:val="00EC19AD"/>
    <w:rsid w:val="00F86AA7"/>
    <w:rsid w:val="00FB3D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14E45"/>
  <w15:docId w15:val="{A9036B5E-EBD6-4531-AF6C-52A815F6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D0255" w:rsidRDefault="00A233F1">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35E8A" w:rsidRDefault="00A233F1" w:rsidP="00AF0AC5">
          <w:pPr>
            <w:pStyle w:val="D6903D02D7CB4A26959385EE7707C95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35E8A" w:rsidRDefault="00A233F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35E8A" w:rsidRDefault="00A233F1" w:rsidP="00AF0AC5">
          <w:pPr>
            <w:pStyle w:val="0796204703484FAD9B1778A33922F9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5E8A"/>
    <w:rsid w:val="00035E8A"/>
    <w:rsid w:val="004D0255"/>
    <w:rsid w:val="00680402"/>
    <w:rsid w:val="00A233F1"/>
    <w:rsid w:val="00A36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2024-01-22T21:47:00Z</dcterms:created>
  <dcterms:modified xsi:type="dcterms:W3CDTF">2024-01-22T21:48:00Z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